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hd w:val="clear" w:color="auto" w:fill="FFFFFF"/>
        <w:kinsoku/>
        <w:wordWrap/>
        <w:overflowPunct/>
        <w:topLinePunct w:val="0"/>
        <w:autoSpaceDE/>
        <w:autoSpaceDN/>
        <w:bidi w:val="0"/>
        <w:adjustRightInd/>
        <w:snapToGrid/>
        <w:spacing w:before="316" w:beforeLines="100" w:beforeAutospacing="0" w:after="0" w:afterAutospacing="0" w:line="600" w:lineRule="exact"/>
        <w:ind w:left="0" w:leftChars="0" w:right="0" w:rightChars="0" w:firstLine="0" w:firstLineChars="0"/>
        <w:jc w:val="center"/>
        <w:textAlignment w:val="auto"/>
        <w:outlineLvl w:val="9"/>
        <w:rPr>
          <w:rStyle w:val="9"/>
          <w:rFonts w:hint="eastAsia" w:ascii="方正小标宋简体" w:eastAsia="方正小标宋简体"/>
          <w:b w:val="0"/>
          <w:color w:val="000000"/>
          <w:sz w:val="44"/>
          <w:szCs w:val="44"/>
          <w:shd w:val="clear" w:color="auto" w:fill="FFFFFF"/>
          <w:lang w:eastAsia="zh-CN"/>
        </w:rPr>
      </w:pPr>
      <w:r>
        <w:rPr>
          <w:rStyle w:val="9"/>
          <w:rFonts w:hint="eastAsia" w:ascii="方正小标宋简体" w:eastAsia="方正小标宋简体"/>
          <w:b w:val="0"/>
          <w:color w:val="000000"/>
          <w:sz w:val="44"/>
          <w:szCs w:val="44"/>
          <w:shd w:val="clear" w:color="auto" w:fill="FFFFFF"/>
          <w:lang w:eastAsia="zh-CN"/>
        </w:rPr>
        <w:t>吴堡县农村</w:t>
      </w:r>
      <w:r>
        <w:rPr>
          <w:rStyle w:val="9"/>
          <w:rFonts w:hint="eastAsia" w:ascii="方正小标宋简体" w:eastAsia="方正小标宋简体"/>
          <w:b w:val="0"/>
          <w:color w:val="000000"/>
          <w:sz w:val="44"/>
          <w:szCs w:val="44"/>
          <w:shd w:val="clear" w:color="auto" w:fill="FFFFFF"/>
        </w:rPr>
        <w:t>特困人员</w:t>
      </w:r>
      <w:r>
        <w:rPr>
          <w:rStyle w:val="9"/>
          <w:rFonts w:hint="eastAsia" w:ascii="方正小标宋简体" w:eastAsia="方正小标宋简体"/>
          <w:b w:val="0"/>
          <w:color w:val="000000"/>
          <w:sz w:val="44"/>
          <w:szCs w:val="44"/>
          <w:shd w:val="clear" w:color="auto" w:fill="FFFFFF"/>
          <w:lang w:eastAsia="zh-CN"/>
        </w:rPr>
        <w:t>（兜底对象）</w:t>
      </w:r>
    </w:p>
    <w:p>
      <w:pPr>
        <w:pStyle w:val="6"/>
        <w:keepNext w:val="0"/>
        <w:keepLines w:val="0"/>
        <w:pageBreakBefore w:val="0"/>
        <w:shd w:val="clear" w:color="auto" w:fill="FFFFFF"/>
        <w:kinsoku/>
        <w:wordWrap/>
        <w:overflowPunct/>
        <w:topLinePunct w:val="0"/>
        <w:autoSpaceDN/>
        <w:bidi w:val="0"/>
        <w:adjustRightInd/>
        <w:snapToGrid/>
        <w:spacing w:before="0" w:beforeAutospacing="0" w:after="0" w:afterAutospacing="0" w:line="600" w:lineRule="exact"/>
        <w:ind w:left="0" w:leftChars="0" w:right="0" w:rightChars="0"/>
        <w:jc w:val="center"/>
        <w:textAlignment w:val="auto"/>
        <w:outlineLvl w:val="9"/>
        <w:rPr>
          <w:rStyle w:val="9"/>
          <w:rFonts w:hint="eastAsia" w:ascii="方正小标宋简体" w:eastAsia="方正小标宋简体"/>
          <w:b w:val="0"/>
          <w:color w:val="000000"/>
          <w:sz w:val="36"/>
          <w:szCs w:val="36"/>
          <w:shd w:val="clear" w:color="auto" w:fill="FFFFFF"/>
        </w:rPr>
      </w:pPr>
      <w:r>
        <w:rPr>
          <w:rStyle w:val="9"/>
          <w:rFonts w:hint="eastAsia" w:ascii="方正小标宋简体" w:eastAsia="方正小标宋简体"/>
          <w:b w:val="0"/>
          <w:color w:val="000000"/>
          <w:sz w:val="44"/>
          <w:szCs w:val="44"/>
          <w:shd w:val="clear" w:color="auto" w:fill="FFFFFF"/>
        </w:rPr>
        <w:t>救助供养实施办法</w:t>
      </w:r>
    </w:p>
    <w:p>
      <w:pPr>
        <w:pStyle w:val="6"/>
        <w:keepNext w:val="0"/>
        <w:keepLines w:val="0"/>
        <w:pageBreakBefore w:val="0"/>
        <w:widowControl/>
        <w:shd w:val="clear" w:color="auto" w:fill="FFFFFF"/>
        <w:kinsoku/>
        <w:wordWrap/>
        <w:overflowPunct/>
        <w:topLinePunct w:val="0"/>
        <w:autoSpaceDE/>
        <w:autoSpaceDN/>
        <w:bidi w:val="0"/>
        <w:adjustRightInd/>
        <w:snapToGrid/>
        <w:spacing w:before="159" w:beforeLines="50" w:beforeAutospacing="0" w:after="159" w:afterLines="50" w:afterAutospacing="0" w:line="600" w:lineRule="exact"/>
        <w:ind w:left="0" w:leftChars="0" w:right="0" w:rightChars="0" w:firstLine="0" w:firstLineChars="0"/>
        <w:jc w:val="center"/>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shd w:val="clear" w:color="auto" w:fill="FFFFFF"/>
        </w:rPr>
        <w:t>第一章  总  则</w:t>
      </w:r>
    </w:p>
    <w:p>
      <w:pPr>
        <w:pStyle w:val="6"/>
        <w:keepNext w:val="0"/>
        <w:keepLines w:val="0"/>
        <w:pageBreakBefore w:val="0"/>
        <w:shd w:val="clear" w:color="auto" w:fill="FFFFFF"/>
        <w:kinsoku/>
        <w:wordWrap/>
        <w:overflowPunct/>
        <w:topLinePunct w:val="0"/>
        <w:autoSpaceDN/>
        <w:bidi w:val="0"/>
        <w:adjustRightInd/>
        <w:snapToGrid/>
        <w:spacing w:before="0" w:beforeAutospacing="0" w:after="0" w:afterAutospacing="0" w:line="600" w:lineRule="exact"/>
        <w:ind w:left="0" w:leftChars="0" w:right="0" w:rightChars="0" w:firstLine="642" w:firstLineChars="200"/>
        <w:jc w:val="left"/>
        <w:textAlignment w:val="auto"/>
        <w:outlineLvl w:val="9"/>
        <w:rPr>
          <w:rFonts w:hint="eastAsia" w:ascii="仿宋_GB2312" w:hAnsi="Times New Roman" w:eastAsia="仿宋_GB2312"/>
          <w:color w:val="000000"/>
          <w:sz w:val="32"/>
          <w:szCs w:val="32"/>
        </w:rPr>
      </w:pPr>
      <w:r>
        <w:rPr>
          <w:rFonts w:hint="eastAsia" w:ascii="仿宋_GB2312" w:hAnsi="仿宋_GB2312" w:eastAsia="仿宋_GB2312" w:cs="仿宋_GB2312"/>
          <w:b/>
          <w:bCs/>
          <w:color w:val="000000"/>
          <w:sz w:val="32"/>
          <w:szCs w:val="32"/>
        </w:rPr>
        <w:t xml:space="preserve">第一条 </w:t>
      </w:r>
      <w:r>
        <w:rPr>
          <w:rFonts w:hint="eastAsia" w:ascii="仿宋_GB2312" w:eastAsia="仿宋_GB2312"/>
          <w:color w:val="000000"/>
          <w:sz w:val="32"/>
          <w:szCs w:val="32"/>
        </w:rPr>
        <w:t>为进一步做好</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w:t>
      </w:r>
      <w:r>
        <w:rPr>
          <w:rFonts w:hint="eastAsia" w:ascii="仿宋_GB2312" w:eastAsia="仿宋_GB2312"/>
          <w:color w:val="000000"/>
          <w:sz w:val="32"/>
          <w:szCs w:val="32"/>
          <w:lang w:eastAsia="zh-CN"/>
        </w:rPr>
        <w:t>（兜底对象，下同）</w:t>
      </w:r>
      <w:r>
        <w:rPr>
          <w:rFonts w:hint="eastAsia" w:ascii="仿宋_GB2312" w:eastAsia="仿宋_GB2312"/>
          <w:color w:val="000000"/>
          <w:sz w:val="32"/>
          <w:szCs w:val="32"/>
        </w:rPr>
        <w:t>救助供养工作，根据民政部《特困人员认定办法》和陕西省人民政府《关于进一步健全特困人员救助供养制度的实施意见》</w:t>
      </w:r>
      <w:r>
        <w:rPr>
          <w:rFonts w:hint="eastAsia" w:ascii="仿宋_GB2312" w:eastAsia="仿宋_GB2312"/>
          <w:color w:val="000000"/>
          <w:sz w:val="32"/>
          <w:szCs w:val="32"/>
          <w:lang w:eastAsia="zh-CN"/>
        </w:rPr>
        <w:t>、</w:t>
      </w:r>
      <w:r>
        <w:rPr>
          <w:rFonts w:hint="eastAsia" w:ascii="仿宋_GB2312" w:eastAsia="仿宋_GB2312"/>
          <w:color w:val="000000"/>
          <w:sz w:val="32"/>
          <w:szCs w:val="32"/>
        </w:rPr>
        <w:t>《</w:t>
      </w:r>
      <w:r>
        <w:rPr>
          <w:rFonts w:hint="eastAsia" w:ascii="仿宋_GB2312" w:eastAsia="仿宋_GB2312"/>
          <w:color w:val="000000"/>
          <w:sz w:val="32"/>
          <w:szCs w:val="32"/>
          <w:lang w:eastAsia="zh-CN"/>
        </w:rPr>
        <w:t>榆林市</w:t>
      </w:r>
      <w:r>
        <w:rPr>
          <w:rFonts w:hint="eastAsia" w:ascii="仿宋_GB2312" w:eastAsia="仿宋_GB2312"/>
          <w:color w:val="000000"/>
          <w:sz w:val="32"/>
          <w:szCs w:val="32"/>
        </w:rPr>
        <w:t>特困人员救助供养实施办法》等相关政策，结合我</w:t>
      </w:r>
      <w:r>
        <w:rPr>
          <w:rFonts w:hint="eastAsia" w:ascii="仿宋_GB2312" w:eastAsia="仿宋_GB2312"/>
          <w:color w:val="000000"/>
          <w:sz w:val="32"/>
          <w:szCs w:val="32"/>
          <w:lang w:eastAsia="zh-CN"/>
        </w:rPr>
        <w:t>县</w:t>
      </w:r>
      <w:r>
        <w:rPr>
          <w:rFonts w:hint="eastAsia" w:ascii="仿宋_GB2312" w:eastAsia="仿宋_GB2312"/>
          <w:color w:val="000000"/>
          <w:sz w:val="32"/>
          <w:szCs w:val="32"/>
        </w:rPr>
        <w:t>实际，制定本办法。</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 xml:space="preserve">第二条 </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特困人员救助供养工作是</w:t>
      </w:r>
      <w:r>
        <w:rPr>
          <w:rFonts w:hint="eastAsia" w:ascii="仿宋_GB2312" w:eastAsia="仿宋_GB2312"/>
          <w:color w:val="000000"/>
          <w:sz w:val="32"/>
          <w:szCs w:val="32"/>
          <w:lang w:eastAsia="zh-CN"/>
        </w:rPr>
        <w:t>以</w:t>
      </w:r>
      <w:r>
        <w:rPr>
          <w:rFonts w:hint="eastAsia" w:ascii="仿宋_GB2312" w:eastAsia="仿宋_GB2312"/>
          <w:color w:val="000000"/>
          <w:sz w:val="32"/>
          <w:szCs w:val="32"/>
        </w:rPr>
        <w:t>解决</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特困人员突出困难</w:t>
      </w:r>
      <w:r>
        <w:rPr>
          <w:rFonts w:hint="eastAsia" w:ascii="仿宋_GB2312" w:eastAsia="仿宋_GB2312"/>
          <w:color w:val="000000"/>
          <w:sz w:val="32"/>
          <w:szCs w:val="32"/>
          <w:lang w:eastAsia="zh-CN"/>
        </w:rPr>
        <w:t>、</w:t>
      </w:r>
      <w:r>
        <w:rPr>
          <w:rFonts w:hint="eastAsia" w:ascii="仿宋_GB2312" w:eastAsia="仿宋_GB2312"/>
          <w:color w:val="000000"/>
          <w:sz w:val="32"/>
          <w:szCs w:val="32"/>
        </w:rPr>
        <w:t>满足其基本需求为目标，由政府为其提供基本生活照料、住房保障、疾病治疗、丧葬事宜、教育救助等方面的保障。</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特困人员救助供养工作坚持托底供养、属地管理、城乡统筹、适度保障、社会参与的原则。</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 xml:space="preserve">第三条 </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特困人员救助供养工作实行政府负责制。</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（一）民政部门是</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特困人员救助供养工作的主管部门，负责</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特困人员救助供养工作的政策修订和组织实施；</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（二）发改、公安、卫计、教育、住建、人社等困难群众生活保障工作领导小组成员单位</w:t>
      </w:r>
      <w:r>
        <w:rPr>
          <w:rFonts w:hint="eastAsia" w:ascii="仿宋_GB2312" w:eastAsia="仿宋_GB2312"/>
          <w:color w:val="000000"/>
          <w:sz w:val="32"/>
          <w:szCs w:val="32"/>
          <w:u w:val="none" w:color="auto"/>
        </w:rPr>
        <w:t>在</w:t>
      </w:r>
      <w:r>
        <w:rPr>
          <w:rFonts w:hint="eastAsia" w:ascii="仿宋_GB2312" w:eastAsia="仿宋_GB2312"/>
          <w:color w:val="000000"/>
          <w:sz w:val="32"/>
          <w:szCs w:val="32"/>
        </w:rPr>
        <w:t>各自职责范围内配合民政部门做好</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特困人员救助供养相关工作；</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（三）村民委员会协助镇人民政府（街道办事处）做好</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特困人员供养相关工作。</w:t>
      </w:r>
    </w:p>
    <w:p>
      <w:pPr>
        <w:keepNext w:val="0"/>
        <w:keepLines w:val="0"/>
        <w:pageBreakBefore w:val="0"/>
        <w:widowControl w:val="0"/>
        <w:kinsoku/>
        <w:wordWrap/>
        <w:overflowPunct/>
        <w:topLinePunct w:val="0"/>
        <w:autoSpaceDE/>
        <w:autoSpaceDN/>
        <w:bidi w:val="0"/>
        <w:adjustRightInd/>
        <w:snapToGrid/>
        <w:spacing w:before="159" w:beforeLines="50" w:after="159" w:afterLines="50" w:line="600" w:lineRule="exact"/>
        <w:ind w:left="0" w:leftChars="0" w:right="0" w:rightChars="0" w:firstLine="0" w:firstLineChars="0"/>
        <w:jc w:val="center"/>
        <w:textAlignment w:val="auto"/>
        <w:outlineLvl w:val="9"/>
        <w:rPr>
          <w:rFonts w:hint="eastAsia" w:ascii="黑体" w:eastAsia="黑体"/>
          <w:color w:val="000000"/>
          <w:sz w:val="32"/>
          <w:szCs w:val="32"/>
        </w:rPr>
        <w:sectPr>
          <w:footerReference r:id="rId3" w:type="default"/>
          <w:footerReference r:id="rId4" w:type="even"/>
          <w:pgSz w:w="11906" w:h="16838"/>
          <w:pgMar w:top="1701" w:right="1587" w:bottom="1587" w:left="1701" w:header="850" w:footer="992" w:gutter="0"/>
          <w:pgNumType w:fmt="numberInDash"/>
          <w:cols w:space="0" w:num="1"/>
          <w:rtlGutter w:val="0"/>
          <w:docGrid w:type="lines" w:linePitch="315" w:charSpace="0"/>
        </w:sectPr>
      </w:pPr>
    </w:p>
    <w:p>
      <w:pPr>
        <w:keepNext w:val="0"/>
        <w:keepLines w:val="0"/>
        <w:pageBreakBefore w:val="0"/>
        <w:widowControl w:val="0"/>
        <w:kinsoku/>
        <w:wordWrap/>
        <w:overflowPunct/>
        <w:topLinePunct w:val="0"/>
        <w:autoSpaceDE/>
        <w:autoSpaceDN/>
        <w:bidi w:val="0"/>
        <w:adjustRightInd/>
        <w:snapToGrid/>
        <w:spacing w:before="159" w:beforeLines="50" w:after="159" w:afterLines="50" w:line="600" w:lineRule="exact"/>
        <w:ind w:left="0" w:leftChars="0" w:right="0" w:rightChars="0" w:firstLine="0" w:firstLineChars="0"/>
        <w:jc w:val="center"/>
        <w:textAlignment w:val="auto"/>
        <w:outlineLvl w:val="9"/>
        <w:rPr>
          <w:rFonts w:hint="eastAsia" w:ascii="黑体" w:eastAsia="黑体"/>
          <w:color w:val="000000"/>
          <w:sz w:val="32"/>
          <w:szCs w:val="32"/>
        </w:rPr>
      </w:pPr>
      <w:r>
        <w:rPr>
          <w:rFonts w:hint="eastAsia" w:ascii="黑体" w:eastAsia="黑体"/>
          <w:color w:val="000000"/>
          <w:sz w:val="32"/>
          <w:szCs w:val="32"/>
        </w:rPr>
        <w:t>第二章</w:t>
      </w:r>
      <w:r>
        <w:rPr>
          <w:rFonts w:eastAsia="黑体"/>
          <w:color w:val="000000"/>
          <w:sz w:val="32"/>
          <w:szCs w:val="32"/>
        </w:rPr>
        <w:t xml:space="preserve">  </w:t>
      </w:r>
      <w:r>
        <w:rPr>
          <w:rFonts w:hint="eastAsia" w:ascii="黑体" w:eastAsia="黑体"/>
          <w:color w:val="000000"/>
          <w:sz w:val="32"/>
          <w:szCs w:val="32"/>
        </w:rPr>
        <w:t>认定条件</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 xml:space="preserve">第四条 </w:t>
      </w:r>
      <w:r>
        <w:rPr>
          <w:rFonts w:hint="eastAsia" w:ascii="仿宋_GB2312" w:eastAsia="仿宋_GB2312"/>
          <w:color w:val="000000"/>
          <w:sz w:val="32"/>
          <w:szCs w:val="32"/>
        </w:rPr>
        <w:t xml:space="preserve"> 具有</w:t>
      </w:r>
      <w:r>
        <w:rPr>
          <w:rFonts w:hint="eastAsia" w:ascii="仿宋_GB2312" w:eastAsia="仿宋_GB2312"/>
          <w:color w:val="000000"/>
          <w:sz w:val="32"/>
          <w:szCs w:val="32"/>
          <w:lang w:eastAsia="zh-CN"/>
        </w:rPr>
        <w:t>吴堡县</w:t>
      </w:r>
      <w:r>
        <w:rPr>
          <w:rFonts w:hint="eastAsia" w:ascii="仿宋_GB2312" w:eastAsia="仿宋_GB2312"/>
          <w:color w:val="000000"/>
          <w:sz w:val="32"/>
          <w:szCs w:val="32"/>
        </w:rPr>
        <w:t>户籍的老年人、残疾人以及未满16周岁的未成年人，同时具备以下条件，应当纳入</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特困人员救助供养范围：</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（一）无劳动能力；</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（二）无生活来源；</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（三）无法定赡养、抚养、扶养义务人，或者其法定赡养、抚养、扶养义务人无履行义务能力。</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 xml:space="preserve">第五条  </w:t>
      </w:r>
      <w:r>
        <w:rPr>
          <w:rFonts w:hint="eastAsia" w:ascii="仿宋_GB2312" w:eastAsia="仿宋_GB2312"/>
          <w:color w:val="000000"/>
          <w:sz w:val="32"/>
          <w:szCs w:val="32"/>
        </w:rPr>
        <w:t>无劳动能力。符合下列条件之一的，可以认定为无劳动能力：</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（一）年满60周岁的老年人；</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（二）未满16周岁的未成年人；</w:t>
      </w:r>
    </w:p>
    <w:p>
      <w:pPr>
        <w:pStyle w:val="6"/>
        <w:keepNext w:val="0"/>
        <w:keepLines w:val="0"/>
        <w:pageBreakBefore w:val="0"/>
        <w:kinsoku/>
        <w:wordWrap/>
        <w:overflowPunct/>
        <w:topLinePunct w:val="0"/>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eastAsia" w:ascii="仿宋_GB2312" w:eastAsia="仿宋_GB2312"/>
          <w:color w:val="000000"/>
          <w:kern w:val="2"/>
          <w:sz w:val="32"/>
          <w:szCs w:val="32"/>
        </w:rPr>
      </w:pPr>
      <w:r>
        <w:rPr>
          <w:rFonts w:hint="eastAsia" w:ascii="仿宋_GB2312" w:hAnsi="仿宋_GB2312" w:eastAsia="仿宋_GB2312" w:cs="仿宋_GB2312"/>
          <w:color w:val="000000"/>
          <w:sz w:val="32"/>
          <w:szCs w:val="32"/>
        </w:rPr>
        <w:t>（</w:t>
      </w:r>
      <w:r>
        <w:rPr>
          <w:rFonts w:hint="eastAsia" w:ascii="仿宋_GB2312" w:eastAsia="仿宋_GB2312"/>
          <w:color w:val="000000"/>
          <w:kern w:val="2"/>
          <w:sz w:val="32"/>
          <w:szCs w:val="32"/>
        </w:rPr>
        <w:t>三）残疾等级为一、二级的智力、精神残疾人，残疾等级为一级的肢体残疾人;</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（四）经县民政局指定的专业鉴定机构认定为无劳动能力的残疾人和无法从事劳动的疾病患者；</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（五）县人民政府认定的其他情形。</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 xml:space="preserve">第六条 </w:t>
      </w:r>
      <w:r>
        <w:rPr>
          <w:rFonts w:hint="eastAsia" w:ascii="仿宋_GB2312" w:eastAsia="仿宋_GB2312"/>
          <w:color w:val="000000"/>
          <w:sz w:val="32"/>
          <w:szCs w:val="32"/>
        </w:rPr>
        <w:t xml:space="preserve"> 无生活来源。 同时符合下列条件的，可以认定为无生活来源：</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sectPr>
          <w:footerReference r:id="rId5" w:type="default"/>
          <w:footerReference r:id="rId6" w:type="even"/>
          <w:pgSz w:w="11906" w:h="16838"/>
          <w:pgMar w:top="1701" w:right="1587" w:bottom="1587" w:left="1701" w:header="850" w:footer="992" w:gutter="0"/>
          <w:pgNumType w:fmt="numberInDash"/>
          <w:cols w:space="0" w:num="1"/>
          <w:rtlGutter w:val="0"/>
          <w:docGrid w:type="lines" w:linePitch="315" w:charSpace="0"/>
        </w:sectPr>
      </w:pPr>
      <w:r>
        <w:rPr>
          <w:rFonts w:hint="eastAsia" w:ascii="仿宋_GB2312" w:eastAsia="仿宋_GB2312"/>
          <w:color w:val="000000"/>
          <w:sz w:val="32"/>
          <w:szCs w:val="32"/>
        </w:rPr>
        <w:t>（一）除居民基本养老保险中的基础养老金、基本医疗保险等社会保险以及高龄津贴等社会福利补贴外，其他工资性收入、经营净（纯）收入、财产性收入、转移性收入等所有各类</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收入的总和低于全</w:t>
      </w:r>
      <w:r>
        <w:rPr>
          <w:rFonts w:hint="eastAsia" w:ascii="仿宋_GB2312" w:eastAsia="仿宋_GB2312"/>
          <w:color w:val="000000"/>
          <w:sz w:val="32"/>
          <w:szCs w:val="32"/>
          <w:lang w:eastAsia="zh-CN"/>
        </w:rPr>
        <w:t>县</w:t>
      </w:r>
      <w:r>
        <w:rPr>
          <w:rFonts w:hint="eastAsia" w:ascii="仿宋_GB2312" w:eastAsia="仿宋_GB2312"/>
          <w:color w:val="000000"/>
          <w:sz w:val="32"/>
          <w:szCs w:val="32"/>
        </w:rPr>
        <w:t>最低生活保障标准的；</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（二）财产状况符合</w:t>
      </w:r>
      <w:r>
        <w:rPr>
          <w:rFonts w:hint="eastAsia" w:ascii="仿宋_GB2312" w:eastAsia="仿宋_GB2312"/>
          <w:color w:val="000000"/>
          <w:sz w:val="32"/>
          <w:szCs w:val="32"/>
          <w:lang w:eastAsia="zh-CN"/>
        </w:rPr>
        <w:t>吴堡县</w:t>
      </w:r>
      <w:r>
        <w:rPr>
          <w:rFonts w:hint="eastAsia" w:ascii="仿宋_GB2312" w:eastAsia="仿宋_GB2312"/>
          <w:color w:val="000000"/>
          <w:sz w:val="32"/>
          <w:szCs w:val="32"/>
        </w:rPr>
        <w:t>最低生活保障财产有关规定。</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 xml:space="preserve">第七条 </w:t>
      </w:r>
      <w:r>
        <w:rPr>
          <w:rFonts w:hint="eastAsia" w:ascii="仿宋_GB2312" w:eastAsia="仿宋_GB2312"/>
          <w:color w:val="000000"/>
          <w:sz w:val="32"/>
          <w:szCs w:val="32"/>
        </w:rPr>
        <w:t xml:space="preserve"> 法定赡、抚、扶养义务人。</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（一）法定赡养义务人。</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1.子女或养子女；</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2.有负担能力的孙子女、外孙子女；</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3.其他依法负有赡养义务的人。</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（二）法定抚养义务人。</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1.父母或养父母；</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2.有负担能力的祖父母、外祖父母；</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 xml:space="preserve">3.其他依法负有抚养义务的人。     </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（三）法定扶养义务人。</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1.夫妻；</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2.有负担能力的兄弟、姐妹；</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 xml:space="preserve">3.其他依法负有扶养义务的人。  </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 xml:space="preserve">第八条  </w:t>
      </w:r>
      <w:r>
        <w:rPr>
          <w:rFonts w:hint="eastAsia" w:ascii="仿宋_GB2312" w:eastAsia="仿宋_GB2312"/>
          <w:color w:val="000000"/>
          <w:sz w:val="32"/>
          <w:szCs w:val="32"/>
        </w:rPr>
        <w:t>法定赡、抚、扶养能力。法定义务人有下列情形之一的，可以认定为无履行义务能力：</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（一）属于特困人员的；</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（二）按照本办法第五条规定无劳动能力的,且财产符合最低生活保障财产状况规定的；</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（三）无民事行为能力或被宣告失踪或被判处1年以上有期徒刑正在服刑，且财产符合最低生活保障财产状况规定的；</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sectPr>
          <w:footerReference r:id="rId7" w:type="default"/>
          <w:footerReference r:id="rId8" w:type="even"/>
          <w:pgSz w:w="11906" w:h="16838"/>
          <w:pgMar w:top="1701" w:right="1587" w:bottom="1587" w:left="1701" w:header="850" w:footer="992" w:gutter="0"/>
          <w:pgNumType w:fmt="numberInDash"/>
          <w:cols w:space="0" w:num="1"/>
          <w:rtlGutter w:val="0"/>
          <w:docGrid w:type="lines" w:linePitch="315" w:charSpace="0"/>
        </w:sectPr>
      </w:pP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（四）县人民政府认定的其他情形。</w:t>
      </w:r>
    </w:p>
    <w:p>
      <w:pPr>
        <w:keepNext w:val="0"/>
        <w:keepLines w:val="0"/>
        <w:pageBreakBefore w:val="0"/>
        <w:widowControl w:val="0"/>
        <w:kinsoku/>
        <w:wordWrap/>
        <w:overflowPunct/>
        <w:topLinePunct w:val="0"/>
        <w:autoSpaceDE/>
        <w:autoSpaceDN/>
        <w:bidi w:val="0"/>
        <w:adjustRightInd/>
        <w:snapToGrid/>
        <w:spacing w:before="159" w:beforeLines="50" w:after="159" w:afterLines="50" w:line="600" w:lineRule="exact"/>
        <w:ind w:left="0" w:leftChars="0" w:right="0" w:rightChars="0" w:firstLine="0" w:firstLineChars="0"/>
        <w:jc w:val="center"/>
        <w:textAlignment w:val="auto"/>
        <w:outlineLvl w:val="9"/>
        <w:rPr>
          <w:rFonts w:hint="eastAsia" w:ascii="黑体" w:eastAsia="黑体"/>
          <w:color w:val="000000"/>
          <w:sz w:val="32"/>
          <w:szCs w:val="32"/>
        </w:rPr>
      </w:pPr>
      <w:r>
        <w:rPr>
          <w:rFonts w:hint="eastAsia" w:ascii="黑体" w:eastAsia="黑体"/>
          <w:color w:val="000000"/>
          <w:sz w:val="32"/>
          <w:szCs w:val="32"/>
        </w:rPr>
        <w:t>第三章  生活自理能力评估</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 xml:space="preserve">第九条 </w:t>
      </w:r>
      <w:r>
        <w:rPr>
          <w:rFonts w:hint="eastAsia" w:ascii="仿宋_GB2312" w:eastAsia="仿宋_GB2312"/>
          <w:color w:val="000000"/>
          <w:sz w:val="32"/>
          <w:szCs w:val="32"/>
        </w:rPr>
        <w:t xml:space="preserve"> 生活自理能力评估由县民政局在镇人民政府（街道办事处）、村民委员会协助下，对特困人员生活自理能力进行评估，并根据评估结果，确定</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特困人员应当享受的照料护理等级。</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 xml:space="preserve">第十条 </w:t>
      </w:r>
      <w:r>
        <w:rPr>
          <w:rFonts w:hint="eastAsia" w:ascii="仿宋_GB2312" w:eastAsia="仿宋_GB2312"/>
          <w:color w:val="000000"/>
          <w:sz w:val="32"/>
          <w:szCs w:val="32"/>
        </w:rPr>
        <w:t xml:space="preserve"> </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特困人员生活自理能力评估指标：</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（一）自主吃饭；</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（二）自主穿衣；</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（三）自主上下床；</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（四）自主如厕；</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（五）室内自主行走；</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（六）自主洗澡。</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 xml:space="preserve"> </w:t>
      </w:r>
      <w:r>
        <w:rPr>
          <w:rFonts w:hint="eastAsia" w:ascii="仿宋_GB2312" w:hAnsi="仿宋_GB2312" w:eastAsia="仿宋_GB2312" w:cs="仿宋_GB2312"/>
          <w:b/>
          <w:bCs/>
          <w:color w:val="000000"/>
          <w:kern w:val="0"/>
          <w:sz w:val="32"/>
          <w:szCs w:val="32"/>
          <w:lang w:val="en-US" w:eastAsia="zh-CN" w:bidi="ar-SA"/>
        </w:rPr>
        <w:t xml:space="preserve">第十一条  </w:t>
      </w:r>
      <w:r>
        <w:rPr>
          <w:rFonts w:hint="eastAsia" w:ascii="仿宋_GB2312" w:eastAsia="仿宋_GB2312"/>
          <w:color w:val="000000"/>
          <w:sz w:val="32"/>
          <w:szCs w:val="32"/>
        </w:rPr>
        <w:t>生活自理能力状况评估。依据以上6项指标综合评估特困人员生活自理状况：</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（一）完全具备生活自理能力。6项指标全部达到的；</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（二）部分丧失生活自理能力。有3项（含）以下指标不能达到的；</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（三）</w:t>
      </w:r>
      <w:r>
        <w:rPr>
          <w:rFonts w:hint="eastAsia" w:ascii="仿宋_GB2312" w:eastAsia="仿宋_GB2312"/>
          <w:color w:val="000000"/>
          <w:spacing w:val="-6"/>
          <w:sz w:val="32"/>
          <w:szCs w:val="32"/>
        </w:rPr>
        <w:t>完全丧失生活自理能力。有4项以上指标不能达到的。</w:t>
      </w:r>
    </w:p>
    <w:p>
      <w:pPr>
        <w:keepNext w:val="0"/>
        <w:keepLines w:val="0"/>
        <w:pageBreakBefore w:val="0"/>
        <w:widowControl w:val="0"/>
        <w:kinsoku/>
        <w:wordWrap/>
        <w:overflowPunct/>
        <w:topLinePunct w:val="0"/>
        <w:autoSpaceDE/>
        <w:autoSpaceDN/>
        <w:bidi w:val="0"/>
        <w:adjustRightInd/>
        <w:snapToGrid/>
        <w:spacing w:before="159" w:beforeLines="50" w:after="159" w:afterLines="50" w:line="600" w:lineRule="exact"/>
        <w:ind w:left="0" w:leftChars="0" w:right="0" w:rightChars="0" w:firstLine="0" w:firstLineChars="0"/>
        <w:jc w:val="center"/>
        <w:textAlignment w:val="auto"/>
        <w:outlineLvl w:val="9"/>
        <w:rPr>
          <w:rFonts w:hint="eastAsia" w:ascii="黑体" w:eastAsia="黑体"/>
          <w:color w:val="000000"/>
          <w:sz w:val="32"/>
          <w:szCs w:val="32"/>
        </w:rPr>
      </w:pPr>
      <w:r>
        <w:rPr>
          <w:rFonts w:hint="eastAsia" w:ascii="黑体" w:eastAsia="黑体"/>
          <w:color w:val="000000"/>
          <w:sz w:val="32"/>
          <w:szCs w:val="32"/>
        </w:rPr>
        <w:t>第四章  供养内容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2" w:firstLineChars="200"/>
        <w:jc w:val="both"/>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 xml:space="preserve">第十二条 </w:t>
      </w:r>
      <w:r>
        <w:rPr>
          <w:rFonts w:hint="eastAsia" w:ascii="仿宋_GB2312" w:eastAsia="仿宋_GB2312"/>
          <w:color w:val="000000"/>
          <w:sz w:val="32"/>
          <w:szCs w:val="32"/>
        </w:rPr>
        <w:t xml:space="preserve"> </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特困人员救助供养内容主要包括：</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（一）提供基本日常生活条件</w:t>
      </w:r>
      <w:r>
        <w:rPr>
          <w:rFonts w:hint="eastAsia" w:ascii="仿宋_GB2312" w:eastAsia="仿宋_GB2312"/>
          <w:color w:val="000000"/>
          <w:sz w:val="32"/>
          <w:szCs w:val="32"/>
          <w:lang w:eastAsia="zh-CN"/>
        </w:rPr>
        <w:t>：</w:t>
      </w:r>
      <w:r>
        <w:rPr>
          <w:rFonts w:hint="eastAsia" w:ascii="仿宋_GB2312" w:eastAsia="仿宋_GB2312"/>
          <w:color w:val="000000"/>
          <w:sz w:val="32"/>
          <w:szCs w:val="32"/>
        </w:rPr>
        <w:t>包括供给粮油、副食品、生活用燃料、服装、被褥等日常生活用品和零用钱。对生活不能完全自理的给予照料；</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（二）提供基本居住条件</w:t>
      </w:r>
      <w:r>
        <w:rPr>
          <w:rFonts w:hint="eastAsia" w:ascii="仿宋_GB2312" w:eastAsia="仿宋_GB2312"/>
          <w:color w:val="000000"/>
          <w:sz w:val="32"/>
          <w:szCs w:val="32"/>
          <w:lang w:eastAsia="zh-CN"/>
        </w:rPr>
        <w:t>：</w:t>
      </w:r>
      <w:r>
        <w:rPr>
          <w:rFonts w:hint="eastAsia" w:ascii="仿宋_GB2312" w:eastAsia="仿宋_GB2312"/>
          <w:color w:val="000000"/>
          <w:sz w:val="32"/>
          <w:szCs w:val="32"/>
        </w:rPr>
        <w:t>通过配租公共租赁住房、发放住房租赁补贴、农村危房改造等方式提供基本居住场所；</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（三）提供基本治疗条件</w:t>
      </w:r>
      <w:r>
        <w:rPr>
          <w:rFonts w:hint="eastAsia" w:ascii="仿宋_GB2312" w:eastAsia="仿宋_GB2312"/>
          <w:color w:val="000000"/>
          <w:sz w:val="32"/>
          <w:szCs w:val="32"/>
          <w:lang w:eastAsia="zh-CN"/>
        </w:rPr>
        <w:t>：</w:t>
      </w:r>
      <w:r>
        <w:rPr>
          <w:rFonts w:hint="eastAsia" w:ascii="仿宋_GB2312" w:eastAsia="仿宋_GB2312"/>
          <w:color w:val="000000"/>
          <w:sz w:val="32"/>
          <w:szCs w:val="32"/>
        </w:rPr>
        <w:t>全额资助参加</w:t>
      </w:r>
      <w:r>
        <w:rPr>
          <w:rFonts w:hint="eastAsia" w:ascii="仿宋_GB2312" w:eastAsia="仿宋_GB2312"/>
          <w:color w:val="000000"/>
          <w:sz w:val="32"/>
          <w:szCs w:val="32"/>
          <w:lang w:eastAsia="zh-CN"/>
        </w:rPr>
        <w:t>合</w:t>
      </w:r>
      <w:r>
        <w:rPr>
          <w:rFonts w:hint="eastAsia" w:ascii="仿宋_GB2312" w:eastAsia="仿宋_GB2312"/>
          <w:color w:val="000000"/>
          <w:sz w:val="32"/>
          <w:szCs w:val="32"/>
        </w:rPr>
        <w:t>疗保险的个人缴费部分</w:t>
      </w:r>
      <w:r>
        <w:rPr>
          <w:rFonts w:hint="eastAsia" w:ascii="仿宋_GB2312" w:eastAsia="仿宋_GB2312"/>
          <w:color w:val="000000"/>
          <w:sz w:val="32"/>
          <w:szCs w:val="32"/>
          <w:lang w:eastAsia="zh-CN"/>
        </w:rPr>
        <w:t>，</w:t>
      </w:r>
      <w:r>
        <w:rPr>
          <w:rFonts w:hint="eastAsia" w:ascii="仿宋_GB2312" w:eastAsia="仿宋_GB2312"/>
          <w:color w:val="000000"/>
          <w:sz w:val="32"/>
          <w:szCs w:val="32"/>
        </w:rPr>
        <w:t>全额报销医疗费用；</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（四）提供基本丧葬费用</w:t>
      </w:r>
      <w:r>
        <w:rPr>
          <w:rFonts w:hint="eastAsia" w:ascii="仿宋_GB2312" w:eastAsia="仿宋_GB2312"/>
          <w:color w:val="000000"/>
          <w:sz w:val="32"/>
          <w:szCs w:val="32"/>
          <w:lang w:eastAsia="zh-CN"/>
        </w:rPr>
        <w:t>：</w:t>
      </w:r>
      <w:r>
        <w:rPr>
          <w:rFonts w:hint="eastAsia" w:ascii="仿宋_GB2312" w:eastAsia="仿宋_GB2312"/>
          <w:color w:val="000000"/>
          <w:sz w:val="32"/>
          <w:szCs w:val="32"/>
        </w:rPr>
        <w:t>按其1年救助供养标准提供丧葬费用；</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（五）提供基本教育费用</w:t>
      </w:r>
      <w:r>
        <w:rPr>
          <w:rFonts w:hint="eastAsia" w:ascii="仿宋_GB2312" w:eastAsia="仿宋_GB2312"/>
          <w:color w:val="000000"/>
          <w:sz w:val="32"/>
          <w:szCs w:val="32"/>
          <w:lang w:eastAsia="zh-CN"/>
        </w:rPr>
        <w:t>：</w:t>
      </w:r>
      <w:r>
        <w:rPr>
          <w:rFonts w:hint="eastAsia" w:ascii="仿宋_GB2312" w:eastAsia="仿宋_GB2312"/>
          <w:color w:val="000000"/>
          <w:sz w:val="32"/>
          <w:szCs w:val="32"/>
        </w:rPr>
        <w:t>对</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特困人员中正在接受国民教育阶段的学生，提供基本学习生活费用。</w:t>
      </w:r>
    </w:p>
    <w:p>
      <w:pPr>
        <w:keepNext w:val="0"/>
        <w:keepLines w:val="0"/>
        <w:pageBreakBefore w:val="0"/>
        <w:widowControl w:val="0"/>
        <w:kinsoku/>
        <w:wordWrap/>
        <w:overflowPunct/>
        <w:topLinePunct w:val="0"/>
        <w:autoSpaceDE/>
        <w:autoSpaceDN/>
        <w:bidi w:val="0"/>
        <w:adjustRightInd/>
        <w:snapToGrid/>
        <w:spacing w:before="159" w:beforeLines="50" w:after="159" w:afterLines="50" w:line="600" w:lineRule="exact"/>
        <w:ind w:left="0" w:leftChars="0" w:right="0" w:rightChars="0" w:firstLine="0" w:firstLineChars="0"/>
        <w:jc w:val="center"/>
        <w:textAlignment w:val="auto"/>
        <w:outlineLvl w:val="9"/>
        <w:rPr>
          <w:rFonts w:hint="eastAsia" w:ascii="黑体" w:eastAsia="黑体"/>
          <w:color w:val="000000"/>
          <w:sz w:val="32"/>
          <w:szCs w:val="32"/>
        </w:rPr>
      </w:pPr>
      <w:r>
        <w:rPr>
          <w:rFonts w:hint="eastAsia" w:ascii="黑体" w:eastAsia="黑体"/>
          <w:color w:val="000000"/>
          <w:sz w:val="32"/>
          <w:szCs w:val="32"/>
        </w:rPr>
        <w:t>第五章  供养形式和供养标准</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 xml:space="preserve">第十三条 </w:t>
      </w:r>
      <w:r>
        <w:rPr>
          <w:rFonts w:hint="eastAsia" w:ascii="仿宋_GB2312" w:eastAsia="仿宋_GB2312"/>
          <w:color w:val="000000"/>
          <w:sz w:val="32"/>
          <w:szCs w:val="32"/>
        </w:rPr>
        <w:t xml:space="preserve"> </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特困人员救助供养形式分为分散供养和集中供养两种：</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（一）分散供养：</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特困人员可选择在家分散供养，由村委会和协定的监护人按照协议照料其生活；</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（二）集中供养：</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特困人员也可选择在政府举办的供养服务机构或民办供养服务机构集中供养。</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第十四条</w:t>
      </w:r>
      <w:r>
        <w:rPr>
          <w:rFonts w:hint="eastAsia" w:ascii="仿宋_GB2312" w:eastAsia="仿宋_GB2312"/>
          <w:color w:val="000000"/>
          <w:sz w:val="32"/>
          <w:szCs w:val="32"/>
        </w:rPr>
        <w:t xml:space="preserve">  </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特困人员救助供养标准包括基本生活标准</w:t>
      </w:r>
      <w:r>
        <w:rPr>
          <w:rFonts w:hint="eastAsia" w:ascii="仿宋_GB2312" w:eastAsia="仿宋_GB2312"/>
          <w:color w:val="000000"/>
          <w:sz w:val="32"/>
          <w:szCs w:val="32"/>
          <w:lang w:eastAsia="zh-CN"/>
        </w:rPr>
        <w:t>、</w:t>
      </w:r>
      <w:r>
        <w:rPr>
          <w:rFonts w:hint="eastAsia" w:ascii="仿宋_GB2312" w:eastAsia="仿宋_GB2312"/>
          <w:color w:val="000000"/>
          <w:sz w:val="32"/>
          <w:szCs w:val="32"/>
        </w:rPr>
        <w:t>照料护理标准和</w:t>
      </w:r>
      <w:r>
        <w:rPr>
          <w:rFonts w:hint="eastAsia" w:ascii="仿宋_GB2312" w:eastAsia="仿宋_GB2312"/>
          <w:color w:val="000000"/>
          <w:sz w:val="32"/>
          <w:szCs w:val="32"/>
          <w:lang w:val="en-US" w:eastAsia="zh-CN"/>
        </w:rPr>
        <w:t>失能半失能人员医养结合管护标准</w:t>
      </w:r>
      <w:r>
        <w:rPr>
          <w:rFonts w:hint="eastAsia" w:ascii="仿宋_GB2312" w:eastAsia="仿宋_GB2312"/>
          <w:color w:val="000000"/>
          <w:sz w:val="32"/>
          <w:szCs w:val="32"/>
        </w:rPr>
        <w:t>。</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（一）基本生活标准：</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供养标准不低于全省规定的最低供养标准；</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（二）照料护理标准分为三挡：</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1.完全具备生活自理能力的，每月不低于上年度全</w:t>
      </w:r>
      <w:r>
        <w:rPr>
          <w:rFonts w:hint="eastAsia" w:ascii="仿宋_GB2312" w:eastAsia="仿宋_GB2312"/>
          <w:color w:val="000000"/>
          <w:sz w:val="32"/>
          <w:szCs w:val="32"/>
          <w:lang w:eastAsia="zh-CN"/>
        </w:rPr>
        <w:t>县</w:t>
      </w:r>
      <w:r>
        <w:rPr>
          <w:rFonts w:hint="eastAsia" w:ascii="仿宋_GB2312" w:eastAsia="仿宋_GB2312"/>
          <w:color w:val="000000"/>
          <w:sz w:val="32"/>
          <w:szCs w:val="32"/>
        </w:rPr>
        <w:t>最低工资标准的10%；</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2.部分丧失生活自理能力的，每月不低于上年度全</w:t>
      </w:r>
      <w:r>
        <w:rPr>
          <w:rFonts w:hint="eastAsia" w:ascii="仿宋_GB2312" w:eastAsia="仿宋_GB2312"/>
          <w:color w:val="000000"/>
          <w:sz w:val="32"/>
          <w:szCs w:val="32"/>
          <w:lang w:eastAsia="zh-CN"/>
        </w:rPr>
        <w:t>县</w:t>
      </w:r>
      <w:r>
        <w:rPr>
          <w:rFonts w:hint="eastAsia" w:ascii="仿宋_GB2312" w:eastAsia="仿宋_GB2312"/>
          <w:color w:val="000000"/>
          <w:sz w:val="32"/>
          <w:szCs w:val="32"/>
        </w:rPr>
        <w:t>最低工资标准的15%；</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3.完全丧失生活自理能力的，每月不低于上年度全</w:t>
      </w:r>
      <w:r>
        <w:rPr>
          <w:rFonts w:hint="eastAsia" w:ascii="仿宋_GB2312" w:eastAsia="仿宋_GB2312"/>
          <w:color w:val="000000"/>
          <w:sz w:val="32"/>
          <w:szCs w:val="32"/>
          <w:lang w:eastAsia="zh-CN"/>
        </w:rPr>
        <w:t>县</w:t>
      </w:r>
      <w:r>
        <w:rPr>
          <w:rFonts w:hint="eastAsia" w:ascii="仿宋_GB2312" w:eastAsia="仿宋_GB2312"/>
          <w:color w:val="000000"/>
          <w:sz w:val="32"/>
          <w:szCs w:val="32"/>
        </w:rPr>
        <w:t>最低工资标准的25%。</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（三）失能半失能人员医养结合管护标准</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1.机构运转标准。按每人每年1200元付给集中供养机构；</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2.机构人员标准。按管护人数与聘用人员3:1的比例每人每年2500元的标准付给集中供养机构。</w:t>
      </w:r>
    </w:p>
    <w:p>
      <w:pPr>
        <w:keepNext w:val="0"/>
        <w:keepLines w:val="0"/>
        <w:pageBreakBefore w:val="0"/>
        <w:widowControl w:val="0"/>
        <w:kinsoku/>
        <w:wordWrap/>
        <w:overflowPunct/>
        <w:topLinePunct w:val="0"/>
        <w:autoSpaceDE/>
        <w:autoSpaceDN/>
        <w:bidi w:val="0"/>
        <w:adjustRightInd/>
        <w:snapToGrid/>
        <w:spacing w:before="159" w:beforeLines="50" w:after="159" w:afterLines="50" w:line="600" w:lineRule="exact"/>
        <w:ind w:left="0" w:leftChars="0" w:right="0" w:rightChars="0" w:firstLine="0" w:firstLineChars="0"/>
        <w:jc w:val="center"/>
        <w:textAlignment w:val="auto"/>
        <w:outlineLvl w:val="9"/>
        <w:rPr>
          <w:rFonts w:hint="eastAsia" w:ascii="黑体" w:eastAsia="黑体"/>
          <w:color w:val="000000"/>
          <w:sz w:val="32"/>
          <w:szCs w:val="32"/>
        </w:rPr>
      </w:pPr>
      <w:r>
        <w:rPr>
          <w:rFonts w:hint="eastAsia" w:ascii="黑体" w:eastAsia="黑体"/>
          <w:color w:val="000000"/>
          <w:sz w:val="32"/>
          <w:szCs w:val="32"/>
        </w:rPr>
        <w:t>第六章  办理程序</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 xml:space="preserve">第十五条 </w:t>
      </w:r>
      <w:r>
        <w:rPr>
          <w:rFonts w:hint="eastAsia" w:ascii="仿宋_GB2312" w:eastAsia="仿宋_GB2312"/>
          <w:color w:val="000000"/>
          <w:sz w:val="32"/>
          <w:szCs w:val="32"/>
        </w:rPr>
        <w:t xml:space="preserve"> 申请申报。</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（一）本人申请。由本人或监护人向户籍所在地的镇人民政府（街道办事处）提出书面申请，本人或监护人申请有困难的，可以委托村民委员会或者其亲友代为申请；</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0" w:firstLineChars="200"/>
        <w:jc w:val="both"/>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（二）主动发现。镇人民政府（街道办事处）在工作中发现符合</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特困人员救助供养条件的，应当主动帮助其申请。</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0" w:firstLineChars="200"/>
        <w:jc w:val="both"/>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申请人必须填写《</w:t>
      </w:r>
      <w:r>
        <w:rPr>
          <w:rFonts w:hint="eastAsia" w:ascii="仿宋_GB2312" w:eastAsia="仿宋_GB2312"/>
          <w:color w:val="000000"/>
          <w:sz w:val="32"/>
          <w:szCs w:val="32"/>
          <w:lang w:eastAsia="zh-CN"/>
        </w:rPr>
        <w:t>吴堡县</w:t>
      </w:r>
      <w:r>
        <w:rPr>
          <w:rFonts w:hint="eastAsia" w:ascii="仿宋_GB2312" w:eastAsia="仿宋_GB2312"/>
          <w:color w:val="000000"/>
          <w:sz w:val="32"/>
          <w:szCs w:val="32"/>
        </w:rPr>
        <w:t>社会救助申请申报表》并提供基本信息、家庭收入、家庭财产状况、家庭支出状况等相关资料。</w:t>
      </w:r>
    </w:p>
    <w:p>
      <w:pPr>
        <w:keepNext w:val="0"/>
        <w:keepLines w:val="0"/>
        <w:pageBreakBefore w:val="0"/>
        <w:widowControl w:val="0"/>
        <w:numPr>
          <w:ilvl w:val="0"/>
          <w:numId w:val="0"/>
        </w:numPr>
        <w:kinsoku/>
        <w:wordWrap/>
        <w:overflowPunct/>
        <w:topLinePunct w:val="0"/>
        <w:autoSpaceDE/>
        <w:autoSpaceDN/>
        <w:bidi w:val="0"/>
        <w:adjustRightInd/>
        <w:snapToGrid/>
        <w:spacing w:line="596" w:lineRule="exact"/>
        <w:ind w:left="0" w:leftChars="0" w:right="0" w:rightChars="0" w:firstLine="642" w:firstLineChars="200"/>
        <w:jc w:val="both"/>
        <w:textAlignment w:val="auto"/>
        <w:outlineLvl w:val="9"/>
        <w:rPr>
          <w:rFonts w:hint="eastAsia" w:ascii="仿宋_GB2312" w:eastAsia="仿宋_GB2312"/>
          <w:color w:val="000000"/>
          <w:sz w:val="32"/>
          <w:szCs w:val="32"/>
        </w:rPr>
      </w:pPr>
      <w:r>
        <w:rPr>
          <w:rFonts w:hint="eastAsia" w:ascii="仿宋_GB2312" w:eastAsia="仿宋_GB2312"/>
          <w:b/>
          <w:bCs/>
          <w:color w:val="000000"/>
          <w:sz w:val="32"/>
          <w:szCs w:val="32"/>
          <w:lang w:eastAsia="zh-CN"/>
        </w:rPr>
        <w:t>第十六条</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受理登记。镇人民</w:t>
      </w:r>
      <w:r>
        <w:rPr>
          <w:rFonts w:hint="eastAsia" w:ascii="仿宋_GB2312" w:eastAsia="仿宋_GB2312"/>
          <w:color w:val="000000"/>
          <w:sz w:val="32"/>
          <w:szCs w:val="32"/>
          <w:lang w:eastAsia="zh-CN"/>
        </w:rPr>
        <w:t>政府</w:t>
      </w:r>
      <w:r>
        <w:rPr>
          <w:rFonts w:hint="eastAsia" w:ascii="仿宋_GB2312" w:eastAsia="仿宋_GB2312"/>
          <w:color w:val="000000"/>
          <w:sz w:val="32"/>
          <w:szCs w:val="32"/>
        </w:rPr>
        <w:t>（街道办事处）对申请人提交资料不齐全的，一次性告知补齐资料；对资料齐全的，予以受理登记，录入系统，并通过电话、短信等方式告知申请人或者其代理人受理进展情况。</w:t>
      </w:r>
    </w:p>
    <w:p>
      <w:pPr>
        <w:keepNext w:val="0"/>
        <w:keepLines w:val="0"/>
        <w:pageBreakBefore w:val="0"/>
        <w:widowControl w:val="0"/>
        <w:numPr>
          <w:ilvl w:val="0"/>
          <w:numId w:val="0"/>
        </w:numPr>
        <w:kinsoku/>
        <w:wordWrap/>
        <w:overflowPunct/>
        <w:topLinePunct w:val="0"/>
        <w:autoSpaceDE/>
        <w:autoSpaceDN/>
        <w:bidi w:val="0"/>
        <w:adjustRightInd/>
        <w:snapToGrid/>
        <w:spacing w:line="596" w:lineRule="exact"/>
        <w:ind w:left="0" w:leftChars="0" w:right="0" w:rightChars="0" w:firstLine="321" w:firstLineChars="100"/>
        <w:jc w:val="both"/>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第十七条</w:t>
      </w:r>
      <w:r>
        <w:rPr>
          <w:rFonts w:hint="eastAsia" w:ascii="仿宋_GB2312" w:eastAsia="仿宋_GB2312"/>
          <w:color w:val="000000"/>
          <w:sz w:val="32"/>
          <w:szCs w:val="32"/>
        </w:rPr>
        <w:t xml:space="preserve">  信息比对。</w:t>
      </w:r>
      <w:r>
        <w:rPr>
          <w:rFonts w:hint="eastAsia" w:ascii="仿宋_GB2312" w:eastAsia="仿宋_GB2312"/>
          <w:color w:val="000000"/>
          <w:sz w:val="32"/>
          <w:szCs w:val="32"/>
          <w:lang w:eastAsia="zh-CN"/>
        </w:rPr>
        <w:t>县</w:t>
      </w:r>
      <w:r>
        <w:rPr>
          <w:rFonts w:hint="eastAsia" w:ascii="仿宋_GB2312" w:eastAsia="仿宋_GB2312"/>
          <w:color w:val="000000"/>
          <w:sz w:val="32"/>
          <w:szCs w:val="32"/>
        </w:rPr>
        <w:t xml:space="preserve">民政局通过一定方式对申请人的家庭经济状况进行核对，并向镇人民政府（街道办事处）反馈核对结果。镇人民政府（街道办事处）依据核对结果，不符合的退回，并说明理由，符合的组织民主评议。  </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 xml:space="preserve">第十八条 </w:t>
      </w:r>
      <w:r>
        <w:rPr>
          <w:rFonts w:hint="eastAsia" w:ascii="仿宋_GB2312" w:eastAsia="仿宋_GB2312"/>
          <w:color w:val="000000"/>
          <w:sz w:val="32"/>
          <w:szCs w:val="32"/>
        </w:rPr>
        <w:t xml:space="preserve"> 民主评议。镇人民政府（街道办事处）在村民委员会协助下，对申请人书面申明内容的真实性、完整性及核对结果客观性的进行评议，并将评议结果进行公示。</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 xml:space="preserve">第十九条 </w:t>
      </w:r>
      <w:r>
        <w:rPr>
          <w:rFonts w:hint="eastAsia" w:ascii="仿宋_GB2312" w:eastAsia="仿宋_GB2312"/>
          <w:color w:val="000000"/>
          <w:sz w:val="32"/>
          <w:szCs w:val="32"/>
        </w:rPr>
        <w:t xml:space="preserve"> 入户调查。镇人民政府（街道办事处）通过实地调查、邻里访问、信函索证等方式，依据民主评议结果和公示情况，按照100%的比例入户调查。</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 xml:space="preserve">第二十条 </w:t>
      </w:r>
      <w:r>
        <w:rPr>
          <w:rFonts w:hint="eastAsia" w:ascii="仿宋_GB2312" w:eastAsia="仿宋_GB2312"/>
          <w:color w:val="000000"/>
          <w:sz w:val="32"/>
          <w:szCs w:val="32"/>
        </w:rPr>
        <w:t xml:space="preserve"> 审核上报。镇人民政府（街道办事处）依据民主评议结果和入户调查情况，提出是否给予申请对象</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特困人员救助供养资格的意见，并确定自理能力标准，及时在申请对象所在村公示7天。</w:t>
      </w:r>
      <w:r>
        <w:rPr>
          <w:rFonts w:hint="eastAsia" w:ascii="仿宋_GB2312" w:hAnsi="仿宋_GB2312" w:eastAsia="仿宋_GB2312" w:cs="仿宋_GB2312"/>
          <w:color w:val="000000"/>
          <w:sz w:val="32"/>
          <w:szCs w:val="32"/>
        </w:rPr>
        <w:t>对公示有异议的，及时组织复核；</w:t>
      </w:r>
      <w:r>
        <w:rPr>
          <w:rFonts w:hint="eastAsia" w:ascii="仿宋_GB2312" w:eastAsia="仿宋_GB2312"/>
          <w:color w:val="000000"/>
          <w:sz w:val="32"/>
          <w:szCs w:val="32"/>
        </w:rPr>
        <w:t>对公示无异议的，将相关资料及时上报县民政局审批。</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第二十一条</w:t>
      </w:r>
      <w:r>
        <w:rPr>
          <w:rFonts w:hint="eastAsia" w:ascii="黑体" w:hAnsi="黑体" w:eastAsia="黑体"/>
          <w:color w:val="000000"/>
          <w:sz w:val="32"/>
          <w:szCs w:val="32"/>
        </w:rPr>
        <w:t xml:space="preserve"> </w:t>
      </w:r>
      <w:r>
        <w:rPr>
          <w:rFonts w:hint="eastAsia" w:ascii="仿宋_GB2312" w:eastAsia="仿宋_GB2312"/>
          <w:color w:val="000000"/>
          <w:sz w:val="32"/>
          <w:szCs w:val="32"/>
        </w:rPr>
        <w:t xml:space="preserve"> 抽查审批。</w:t>
      </w:r>
      <w:r>
        <w:rPr>
          <w:rFonts w:hint="eastAsia" w:ascii="仿宋_GB2312" w:eastAsia="仿宋_GB2312"/>
          <w:color w:val="000000"/>
          <w:sz w:val="32"/>
          <w:szCs w:val="32"/>
          <w:lang w:eastAsia="zh-CN"/>
        </w:rPr>
        <w:t>县</w:t>
      </w:r>
      <w:r>
        <w:rPr>
          <w:rFonts w:hint="eastAsia" w:ascii="仿宋_GB2312" w:eastAsia="仿宋_GB2312"/>
          <w:color w:val="000000"/>
          <w:sz w:val="32"/>
          <w:szCs w:val="32"/>
        </w:rPr>
        <w:t>民政局应当全面审查镇人民政府（街道办事处）上报的申请、调查、评议材料和审核意见，并按不低于30%的比例随机入户调查，每季度作出审批决定。不予批准的退回，并说明理由。</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 xml:space="preserve">第二十二条 </w:t>
      </w:r>
      <w:r>
        <w:rPr>
          <w:rFonts w:hint="eastAsia" w:ascii="仿宋_GB2312" w:eastAsia="仿宋_GB2312"/>
          <w:color w:val="000000"/>
          <w:sz w:val="32"/>
          <w:szCs w:val="32"/>
        </w:rPr>
        <w:t xml:space="preserve"> 公示发放。</w:t>
      </w:r>
      <w:r>
        <w:rPr>
          <w:rFonts w:hint="eastAsia" w:ascii="仿宋_GB2312" w:eastAsia="仿宋_GB2312"/>
          <w:color w:val="000000"/>
          <w:sz w:val="32"/>
          <w:szCs w:val="32"/>
          <w:lang w:eastAsia="zh-CN"/>
        </w:rPr>
        <w:t>县</w:t>
      </w:r>
      <w:r>
        <w:rPr>
          <w:rFonts w:hint="eastAsia" w:ascii="仿宋_GB2312" w:eastAsia="仿宋_GB2312"/>
          <w:color w:val="000000"/>
          <w:sz w:val="32"/>
          <w:szCs w:val="32"/>
        </w:rPr>
        <w:t>民政局要对</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特困人员救助供养对象的家庭成员、收入、供养人数、供养金额等情况委托镇人民政府（街道办事处）在其居住地长期公示，公示7天内无异议的发给《</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特困人员救助供养证》，救助供养资金从批准之日下月起计发。</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第二十三条</w:t>
      </w:r>
      <w:r>
        <w:rPr>
          <w:rFonts w:hint="eastAsia" w:ascii="仿宋_GB2312" w:eastAsia="仿宋_GB2312"/>
          <w:color w:val="000000"/>
          <w:sz w:val="32"/>
          <w:szCs w:val="32"/>
        </w:rPr>
        <w:t xml:space="preserve">  确定供养形式。镇人民政府（街道办事处）对已取得</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特困人员救助供养待遇的对象，通过以下程序确定供养形式：</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（一）征询意愿。由镇人民政府（街道办事处）书面征询</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特困人员意愿，由</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特困人员自愿选择供养方式。选择集中供养方式的上报</w:t>
      </w:r>
      <w:r>
        <w:rPr>
          <w:rFonts w:hint="eastAsia" w:ascii="仿宋_GB2312" w:eastAsia="仿宋_GB2312"/>
          <w:color w:val="000000"/>
          <w:sz w:val="32"/>
          <w:szCs w:val="32"/>
          <w:lang w:eastAsia="zh-CN"/>
        </w:rPr>
        <w:t>县</w:t>
      </w:r>
      <w:r>
        <w:rPr>
          <w:rFonts w:hint="eastAsia" w:ascii="仿宋_GB2312" w:eastAsia="仿宋_GB2312"/>
          <w:color w:val="000000"/>
          <w:sz w:val="32"/>
          <w:szCs w:val="32"/>
        </w:rPr>
        <w:t>民政局统筹安排入住到</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特困人员救助供养服务机构。选择分散供养的由村民委员会协助镇人民政府（街道办事处）确定监护人。</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（二）签订协议。集中供养协议由</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特困人员救助供养服务机构、镇人民政府（街道办事处）、村民委员会、</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特困人员或监护人四方签订，签订后报</w:t>
      </w:r>
      <w:r>
        <w:rPr>
          <w:rFonts w:hint="eastAsia" w:ascii="仿宋_GB2312" w:eastAsia="仿宋_GB2312"/>
          <w:color w:val="000000"/>
          <w:sz w:val="32"/>
          <w:szCs w:val="32"/>
          <w:lang w:eastAsia="zh-CN"/>
        </w:rPr>
        <w:t>县</w:t>
      </w:r>
      <w:r>
        <w:rPr>
          <w:rFonts w:hint="eastAsia" w:ascii="仿宋_GB2312" w:eastAsia="仿宋_GB2312"/>
          <w:color w:val="000000"/>
          <w:sz w:val="32"/>
          <w:szCs w:val="32"/>
        </w:rPr>
        <w:t>民政局备案。分散供养协议由镇人民政府（街道办事处）、村民委员会和监护人三方签订，签订后报</w:t>
      </w:r>
      <w:r>
        <w:rPr>
          <w:rFonts w:hint="eastAsia" w:ascii="仿宋_GB2312" w:eastAsia="仿宋_GB2312"/>
          <w:color w:val="000000"/>
          <w:sz w:val="32"/>
          <w:szCs w:val="32"/>
          <w:lang w:eastAsia="zh-CN"/>
        </w:rPr>
        <w:t>县</w:t>
      </w:r>
      <w:r>
        <w:rPr>
          <w:rFonts w:hint="eastAsia" w:ascii="仿宋_GB2312" w:eastAsia="仿宋_GB2312"/>
          <w:color w:val="000000"/>
          <w:sz w:val="32"/>
          <w:szCs w:val="32"/>
        </w:rPr>
        <w:t>民政局备案。</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第二十四条</w:t>
      </w:r>
      <w:r>
        <w:rPr>
          <w:rFonts w:hint="eastAsia" w:ascii="仿宋_GB2312" w:eastAsia="仿宋_GB2312"/>
          <w:color w:val="000000"/>
          <w:sz w:val="32"/>
          <w:szCs w:val="32"/>
        </w:rPr>
        <w:t xml:space="preserve">  </w:t>
      </w:r>
      <w:r>
        <w:rPr>
          <w:rFonts w:hint="eastAsia" w:ascii="仿宋_GB2312" w:eastAsia="仿宋_GB2312"/>
          <w:b w:val="0"/>
          <w:bCs w:val="0"/>
          <w:color w:val="000000"/>
          <w:sz w:val="32"/>
          <w:szCs w:val="32"/>
        </w:rPr>
        <w:t>终止程序。</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特困人员有下列情形之一的，应当及时终止救助供养：</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1.死亡，丧葬事宜办理完毕的；</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2.被宣告失踪或者死亡的；</w:t>
      </w:r>
      <w:bookmarkStart w:id="0" w:name="_GoBack"/>
      <w:bookmarkEnd w:id="0"/>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3.依法被判处刑罚，且在监狱服刑的；</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4.重新获得稳定生活来源的；</w:t>
      </w:r>
    </w:p>
    <w:p>
      <w:pPr>
        <w:keepNext w:val="0"/>
        <w:keepLines w:val="0"/>
        <w:pageBreakBefore w:val="0"/>
        <w:kinsoku/>
        <w:wordWrap/>
        <w:overflowPunct/>
        <w:topLinePunct w:val="0"/>
        <w:autoSpaceDN/>
        <w:bidi w:val="0"/>
        <w:adjustRightInd/>
        <w:snapToGrid/>
        <w:spacing w:line="600" w:lineRule="exact"/>
        <w:ind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5.年满16周岁，已完</w:t>
      </w:r>
      <w:r>
        <w:rPr>
          <w:rFonts w:hint="eastAsia" w:ascii="仿宋_GB2312" w:eastAsia="仿宋_GB2312"/>
          <w:color w:val="000000"/>
          <w:sz w:val="32"/>
          <w:szCs w:val="32"/>
          <w:lang w:eastAsia="zh-CN"/>
        </w:rPr>
        <w:t>成</w:t>
      </w:r>
      <w:r>
        <w:rPr>
          <w:rFonts w:hint="eastAsia" w:ascii="仿宋_GB2312" w:eastAsia="仿宋_GB2312"/>
          <w:color w:val="000000"/>
          <w:sz w:val="32"/>
          <w:szCs w:val="32"/>
        </w:rPr>
        <w:t>国民教育阶段学习，且具有劳动能力的；</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6.经过康复治疗具有劳动能力的；</w:t>
      </w:r>
    </w:p>
    <w:p>
      <w:pPr>
        <w:pStyle w:val="6"/>
        <w:keepNext w:val="0"/>
        <w:keepLines w:val="0"/>
        <w:pageBreakBefore w:val="0"/>
        <w:kinsoku/>
        <w:wordWrap/>
        <w:overflowPunct/>
        <w:topLinePunct w:val="0"/>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7.</w:t>
      </w:r>
      <w:r>
        <w:rPr>
          <w:rFonts w:hint="eastAsia" w:ascii="仿宋_GB2312" w:hAnsi="仿宋_GB2312" w:eastAsia="仿宋_GB2312" w:cs="仿宋_GB2312"/>
          <w:color w:val="000000"/>
          <w:sz w:val="32"/>
          <w:szCs w:val="32"/>
        </w:rPr>
        <w:t>法定义务人具有了履行义务能力或新增具有履行义务能力的法定义务人。</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（二）终止救助供养按以下程序进行：</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1.主动上报。本人、村民委员会、</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特困人员救助供养服务机构应当及时告知镇人民政府（街道办事处），其生活情况发生变化的，由镇人民政府（街道办事处）审核并提出意见后，报县民政局核准。</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2.被动发现。</w:t>
      </w:r>
      <w:r>
        <w:rPr>
          <w:rFonts w:hint="eastAsia" w:ascii="仿宋_GB2312" w:eastAsia="仿宋_GB2312"/>
          <w:color w:val="000000"/>
          <w:sz w:val="32"/>
          <w:szCs w:val="32"/>
          <w:lang w:eastAsia="zh-CN"/>
        </w:rPr>
        <w:t>县民政</w:t>
      </w:r>
      <w:r>
        <w:rPr>
          <w:rFonts w:hint="eastAsia" w:ascii="仿宋_GB2312" w:eastAsia="仿宋_GB2312"/>
          <w:color w:val="000000"/>
          <w:sz w:val="32"/>
          <w:szCs w:val="32"/>
        </w:rPr>
        <w:t>局、镇人民政府（街道办事处）在工作中发现</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特困人员不再符合救助供养条件的，应当及时调查核实并办理终止救助供养手续。</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对拟终止救助供养的</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w:t>
      </w:r>
      <w:r>
        <w:rPr>
          <w:rFonts w:hint="eastAsia" w:ascii="仿宋_GB2312" w:eastAsia="仿宋_GB2312"/>
          <w:color w:val="000000"/>
          <w:sz w:val="32"/>
          <w:szCs w:val="32"/>
          <w:lang w:eastAsia="zh-CN"/>
        </w:rPr>
        <w:t>县</w:t>
      </w:r>
      <w:r>
        <w:rPr>
          <w:rFonts w:hint="eastAsia" w:ascii="仿宋_GB2312" w:eastAsia="仿宋_GB2312"/>
          <w:color w:val="000000"/>
          <w:sz w:val="32"/>
          <w:szCs w:val="32"/>
        </w:rPr>
        <w:t>民政局应当通过镇人民政府（街道办事处）对其告知，并说明理由，在其所在村（社区）或供养服务机构公示7天。公示期满无异议的，从下月起终止救助供养，核销《</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特困人员救助供养证》。</w:t>
      </w:r>
    </w:p>
    <w:p>
      <w:pPr>
        <w:keepNext w:val="0"/>
        <w:keepLines w:val="0"/>
        <w:pageBreakBefore w:val="0"/>
        <w:widowControl w:val="0"/>
        <w:kinsoku/>
        <w:wordWrap/>
        <w:overflowPunct/>
        <w:topLinePunct w:val="0"/>
        <w:autoSpaceDE/>
        <w:autoSpaceDN/>
        <w:bidi w:val="0"/>
        <w:adjustRightInd/>
        <w:snapToGrid/>
        <w:spacing w:before="159" w:beforeLines="50" w:after="159" w:afterLines="50" w:line="600" w:lineRule="exact"/>
        <w:ind w:left="0" w:leftChars="0" w:right="0" w:rightChars="0" w:firstLine="0" w:firstLineChars="0"/>
        <w:jc w:val="center"/>
        <w:textAlignment w:val="auto"/>
        <w:outlineLvl w:val="9"/>
        <w:rPr>
          <w:rFonts w:hint="eastAsia" w:ascii="黑体" w:eastAsia="黑体"/>
          <w:color w:val="000000"/>
          <w:sz w:val="32"/>
          <w:szCs w:val="32"/>
        </w:rPr>
      </w:pPr>
      <w:r>
        <w:rPr>
          <w:rFonts w:hint="eastAsia" w:ascii="黑体" w:eastAsia="黑体"/>
          <w:color w:val="000000"/>
          <w:sz w:val="32"/>
          <w:szCs w:val="32"/>
        </w:rPr>
        <w:t>第七章  特困人员供养服务机构管理</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u w:val="none"/>
        </w:rPr>
      </w:pPr>
      <w:r>
        <w:rPr>
          <w:rFonts w:hint="eastAsia" w:ascii="仿宋_GB2312" w:hAnsi="仿宋_GB2312" w:eastAsia="仿宋_GB2312" w:cs="仿宋_GB2312"/>
          <w:b/>
          <w:bCs/>
          <w:color w:val="000000"/>
          <w:kern w:val="0"/>
          <w:sz w:val="32"/>
          <w:szCs w:val="32"/>
          <w:lang w:val="en-US" w:eastAsia="zh-CN" w:bidi="ar-SA"/>
        </w:rPr>
        <w:t xml:space="preserve">第二十五条 </w:t>
      </w:r>
      <w:r>
        <w:rPr>
          <w:rFonts w:hint="eastAsia" w:ascii="仿宋_GB2312" w:eastAsia="仿宋_GB2312"/>
          <w:color w:val="000000"/>
          <w:sz w:val="32"/>
          <w:szCs w:val="32"/>
        </w:rPr>
        <w:t xml:space="preserve"> 供养机构。</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特困人员救助供养服务机构是指为</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特困人员提供集中服务的机构</w:t>
      </w:r>
      <w:r>
        <w:rPr>
          <w:rFonts w:hint="eastAsia" w:ascii="仿宋_GB2312" w:eastAsia="仿宋_GB2312"/>
          <w:color w:val="000000"/>
          <w:sz w:val="32"/>
          <w:szCs w:val="32"/>
          <w:u w:val="none"/>
        </w:rPr>
        <w:t>。</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 xml:space="preserve">第二十六条 </w:t>
      </w:r>
      <w:r>
        <w:rPr>
          <w:rFonts w:hint="eastAsia" w:ascii="仿宋_GB2312" w:eastAsia="仿宋_GB2312"/>
          <w:color w:val="000000"/>
          <w:sz w:val="32"/>
          <w:szCs w:val="32"/>
        </w:rPr>
        <w:t xml:space="preserve"> 制度管理。</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特困人员供养服务机构应当建立健全财务、档案、环境卫生、安全责任、安全保卫、管理委员会、民主管理、服务管理等制度，并向</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特困人员供养对象公开。</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 xml:space="preserve">第二十七条 </w:t>
      </w:r>
      <w:r>
        <w:rPr>
          <w:rFonts w:hint="eastAsia" w:ascii="仿宋_GB2312" w:eastAsia="仿宋_GB2312"/>
          <w:color w:val="000000"/>
          <w:sz w:val="32"/>
          <w:szCs w:val="32"/>
        </w:rPr>
        <w:t xml:space="preserve"> 服务管理。</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特困人员供养服务机构应当配置基本生活设施和必要的配套辅助设施，坚持基本供养服务与专业化、个性化服务相结合，除日常生活照料外，针对</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特困人员特点提供住院陪护、文化娱乐、心理疏导、康复护理、临终关怀等服务。</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 xml:space="preserve">第二十八条 </w:t>
      </w:r>
      <w:r>
        <w:rPr>
          <w:rFonts w:hint="eastAsia" w:ascii="仿宋_GB2312" w:eastAsia="仿宋_GB2312"/>
          <w:color w:val="000000"/>
          <w:sz w:val="32"/>
          <w:szCs w:val="32"/>
        </w:rPr>
        <w:t xml:space="preserve"> 人员聘用。供养机构管理人员和服务人员由举办主体聘任，其中服务人员根据供养对象人数和照料服务需求按一定比例配备，原则上不低于集中供养对象的1/10，其中，服务失能、半失能对象的比例不低于1:3。</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u w:val="none" w:color="auto"/>
          <w:lang w:val="en-US"/>
        </w:rPr>
      </w:pPr>
      <w:r>
        <w:rPr>
          <w:rFonts w:hint="eastAsia" w:ascii="仿宋_GB2312" w:hAnsi="仿宋_GB2312" w:eastAsia="仿宋_GB2312" w:cs="仿宋_GB2312"/>
          <w:b/>
          <w:bCs/>
          <w:color w:val="000000"/>
          <w:kern w:val="0"/>
          <w:sz w:val="32"/>
          <w:szCs w:val="32"/>
          <w:lang w:val="en-US" w:eastAsia="zh-CN" w:bidi="ar-SA"/>
        </w:rPr>
        <w:t xml:space="preserve">第二十九条 </w:t>
      </w:r>
      <w:r>
        <w:rPr>
          <w:rFonts w:hint="eastAsia" w:ascii="仿宋_GB2312" w:eastAsia="仿宋_GB2312"/>
          <w:color w:val="000000"/>
          <w:sz w:val="32"/>
          <w:szCs w:val="32"/>
          <w:u w:val="none" w:color="auto"/>
        </w:rPr>
        <w:t xml:space="preserve"> 资金保障</w:t>
      </w:r>
      <w:r>
        <w:rPr>
          <w:rFonts w:hint="eastAsia" w:ascii="仿宋_GB2312" w:eastAsia="仿宋_GB2312"/>
          <w:color w:val="000000"/>
          <w:sz w:val="32"/>
          <w:szCs w:val="32"/>
          <w:u w:val="none" w:color="auto"/>
          <w:lang w:eastAsia="zh-CN"/>
        </w:rPr>
        <w:t>：政府自筹和社会捐赠。</w:t>
      </w:r>
    </w:p>
    <w:p>
      <w:pPr>
        <w:keepNext w:val="0"/>
        <w:keepLines w:val="0"/>
        <w:pageBreakBefore w:val="0"/>
        <w:widowControl w:val="0"/>
        <w:kinsoku/>
        <w:wordWrap/>
        <w:overflowPunct/>
        <w:topLinePunct w:val="0"/>
        <w:autoSpaceDE/>
        <w:autoSpaceDN/>
        <w:bidi w:val="0"/>
        <w:adjustRightInd/>
        <w:snapToGrid/>
        <w:spacing w:before="159" w:beforeLines="50" w:after="159" w:afterLines="50" w:line="600" w:lineRule="exact"/>
        <w:ind w:left="0" w:leftChars="0" w:right="0" w:rightChars="0" w:firstLine="0" w:firstLineChars="0"/>
        <w:jc w:val="center"/>
        <w:textAlignment w:val="auto"/>
        <w:outlineLvl w:val="9"/>
        <w:rPr>
          <w:rFonts w:hint="eastAsia" w:ascii="黑体" w:eastAsia="黑体"/>
          <w:color w:val="000000"/>
          <w:sz w:val="32"/>
          <w:szCs w:val="32"/>
        </w:rPr>
      </w:pPr>
      <w:r>
        <w:rPr>
          <w:rFonts w:hint="eastAsia" w:ascii="黑体" w:eastAsia="黑体"/>
          <w:color w:val="000000"/>
          <w:sz w:val="32"/>
          <w:szCs w:val="32"/>
        </w:rPr>
        <w:t>第八章  资金管理</w:t>
      </w:r>
    </w:p>
    <w:p>
      <w:pPr>
        <w:keepNext w:val="0"/>
        <w:keepLines w:val="0"/>
        <w:pageBreakBefore w:val="0"/>
        <w:widowControl w:val="0"/>
        <w:kinsoku/>
        <w:wordWrap/>
        <w:overflowPunct/>
        <w:topLinePunct w:val="0"/>
        <w:autoSpaceDE/>
        <w:autoSpaceDN/>
        <w:bidi w:val="0"/>
        <w:adjustRightInd/>
        <w:snapToGrid/>
        <w:spacing w:line="598" w:lineRule="exact"/>
        <w:ind w:left="0" w:leftChars="0" w:right="0" w:rightChars="0" w:firstLine="642" w:firstLineChars="200"/>
        <w:jc w:val="both"/>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 xml:space="preserve">第三十条 </w:t>
      </w:r>
      <w:r>
        <w:rPr>
          <w:rFonts w:hint="eastAsia" w:ascii="仿宋_GB2312" w:eastAsia="仿宋_GB2312"/>
          <w:color w:val="000000"/>
          <w:sz w:val="32"/>
          <w:szCs w:val="32"/>
        </w:rPr>
        <w:t xml:space="preserve"> </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特困人员供养资金来源包括以下三方面：</w:t>
      </w:r>
    </w:p>
    <w:p>
      <w:pPr>
        <w:keepNext w:val="0"/>
        <w:keepLines w:val="0"/>
        <w:pageBreakBefore w:val="0"/>
        <w:widowControl w:val="0"/>
        <w:kinsoku/>
        <w:wordWrap/>
        <w:overflowPunct/>
        <w:topLinePunct w:val="0"/>
        <w:autoSpaceDE/>
        <w:autoSpaceDN/>
        <w:bidi w:val="0"/>
        <w:adjustRightInd/>
        <w:snapToGrid/>
        <w:spacing w:line="598" w:lineRule="exact"/>
        <w:ind w:left="0" w:leftChars="0" w:right="0" w:rightChars="0" w:firstLine="640" w:firstLineChars="200"/>
        <w:jc w:val="both"/>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（一）中、省</w:t>
      </w:r>
      <w:r>
        <w:rPr>
          <w:rFonts w:hint="eastAsia" w:ascii="仿宋_GB2312" w:eastAsia="仿宋_GB2312"/>
          <w:color w:val="000000"/>
          <w:sz w:val="32"/>
          <w:szCs w:val="32"/>
          <w:lang w:eastAsia="zh-CN"/>
        </w:rPr>
        <w:t>、市</w:t>
      </w:r>
      <w:r>
        <w:rPr>
          <w:rFonts w:hint="eastAsia" w:ascii="仿宋_GB2312" w:eastAsia="仿宋_GB2312"/>
          <w:color w:val="000000"/>
          <w:sz w:val="32"/>
          <w:szCs w:val="32"/>
        </w:rPr>
        <w:t>补助资金；</w:t>
      </w:r>
    </w:p>
    <w:p>
      <w:pPr>
        <w:keepNext w:val="0"/>
        <w:keepLines w:val="0"/>
        <w:pageBreakBefore w:val="0"/>
        <w:widowControl w:val="0"/>
        <w:kinsoku/>
        <w:wordWrap/>
        <w:overflowPunct/>
        <w:topLinePunct w:val="0"/>
        <w:autoSpaceDE/>
        <w:autoSpaceDN/>
        <w:bidi w:val="0"/>
        <w:adjustRightInd/>
        <w:snapToGrid/>
        <w:spacing w:line="598" w:lineRule="exact"/>
        <w:ind w:left="0" w:leftChars="0" w:right="0" w:rightChars="0" w:firstLine="640" w:firstLineChars="200"/>
        <w:jc w:val="both"/>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（二）县财政按照上年可用财力的0.6%的比例，将</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特困人员救助供养资金与临时救助资金、医疗救助资金一并列入财政预算，统筹使用；</w:t>
      </w:r>
    </w:p>
    <w:p>
      <w:pPr>
        <w:keepNext w:val="0"/>
        <w:keepLines w:val="0"/>
        <w:pageBreakBefore w:val="0"/>
        <w:widowControl w:val="0"/>
        <w:kinsoku/>
        <w:wordWrap/>
        <w:overflowPunct/>
        <w:topLinePunct w:val="0"/>
        <w:autoSpaceDE/>
        <w:autoSpaceDN/>
        <w:bidi w:val="0"/>
        <w:adjustRightInd/>
        <w:snapToGrid/>
        <w:spacing w:line="598" w:lineRule="exact"/>
        <w:ind w:left="0" w:leftChars="0" w:right="0" w:rightChars="0" w:firstLine="640" w:firstLineChars="200"/>
        <w:jc w:val="both"/>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（三）社会捐赠、福彩公益金、无明确意向的社会捐赠资金可以安排一定数量用于</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特困人员救助供养和供养服务机构建设。</w:t>
      </w:r>
    </w:p>
    <w:p>
      <w:pPr>
        <w:keepNext w:val="0"/>
        <w:keepLines w:val="0"/>
        <w:pageBreakBefore w:val="0"/>
        <w:widowControl w:val="0"/>
        <w:kinsoku/>
        <w:wordWrap/>
        <w:overflowPunct/>
        <w:topLinePunct w:val="0"/>
        <w:autoSpaceDE/>
        <w:autoSpaceDN/>
        <w:bidi w:val="0"/>
        <w:adjustRightInd/>
        <w:snapToGrid/>
        <w:spacing w:line="598" w:lineRule="exact"/>
        <w:ind w:left="0" w:leftChars="0" w:right="0" w:rightChars="0" w:firstLine="642" w:firstLineChars="200"/>
        <w:jc w:val="both"/>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 xml:space="preserve">第三十一条 </w:t>
      </w:r>
      <w:r>
        <w:rPr>
          <w:rFonts w:hint="eastAsia" w:ascii="仿宋_GB2312" w:eastAsia="仿宋_GB2312"/>
          <w:color w:val="000000"/>
          <w:sz w:val="32"/>
          <w:szCs w:val="32"/>
        </w:rPr>
        <w:t xml:space="preserve"> </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特困人员供养资金统一由</w:t>
      </w:r>
      <w:r>
        <w:rPr>
          <w:rFonts w:hint="eastAsia" w:ascii="仿宋_GB2312" w:eastAsia="仿宋_GB2312"/>
          <w:color w:val="000000"/>
          <w:sz w:val="32"/>
          <w:szCs w:val="32"/>
          <w:lang w:eastAsia="zh-CN"/>
        </w:rPr>
        <w:t>县</w:t>
      </w:r>
      <w:r>
        <w:rPr>
          <w:rFonts w:hint="eastAsia" w:ascii="仿宋_GB2312" w:eastAsia="仿宋_GB2312"/>
          <w:color w:val="000000"/>
          <w:sz w:val="32"/>
          <w:szCs w:val="32"/>
        </w:rPr>
        <w:t>民政局发放，直接通过金融机构兑付。</w:t>
      </w:r>
    </w:p>
    <w:p>
      <w:pPr>
        <w:keepNext w:val="0"/>
        <w:keepLines w:val="0"/>
        <w:pageBreakBefore w:val="0"/>
        <w:widowControl w:val="0"/>
        <w:kinsoku/>
        <w:wordWrap/>
        <w:overflowPunct/>
        <w:topLinePunct w:val="0"/>
        <w:autoSpaceDE/>
        <w:autoSpaceDN/>
        <w:bidi w:val="0"/>
        <w:adjustRightInd/>
        <w:snapToGrid/>
        <w:spacing w:line="598" w:lineRule="exact"/>
        <w:ind w:left="0" w:leftChars="0" w:right="0" w:rightChars="0" w:firstLine="640" w:firstLineChars="200"/>
        <w:jc w:val="both"/>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（一）基本生活费。</w:t>
      </w:r>
    </w:p>
    <w:p>
      <w:pPr>
        <w:keepNext w:val="0"/>
        <w:keepLines w:val="0"/>
        <w:pageBreakBefore w:val="0"/>
        <w:kinsoku/>
        <w:wordWrap/>
        <w:overflowPunct/>
        <w:topLinePunct w:val="0"/>
        <w:autoSpaceDE w:val="0"/>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b/>
          <w:sz w:val="32"/>
          <w:szCs w:val="32"/>
        </w:rPr>
      </w:pPr>
      <w:r>
        <w:rPr>
          <w:rFonts w:hint="eastAsia" w:ascii="仿宋_GB2312" w:eastAsia="仿宋_GB2312"/>
          <w:color w:val="000000"/>
          <w:sz w:val="32"/>
          <w:szCs w:val="32"/>
        </w:rPr>
        <w:t>1.分散供养</w:t>
      </w:r>
      <w:r>
        <w:rPr>
          <w:rFonts w:hint="eastAsia" w:ascii="仿宋_GB2312" w:eastAsia="仿宋_GB2312"/>
          <w:color w:val="000000"/>
          <w:sz w:val="32"/>
          <w:szCs w:val="32"/>
          <w:lang w:eastAsia="zh-CN"/>
        </w:rPr>
        <w:t>：</w:t>
      </w:r>
      <w:r>
        <w:rPr>
          <w:rFonts w:hint="eastAsia" w:ascii="仿宋_GB2312" w:eastAsia="仿宋_GB2312"/>
          <w:color w:val="000000"/>
          <w:sz w:val="32"/>
          <w:szCs w:val="32"/>
        </w:rPr>
        <w:t>按照服务</w:t>
      </w:r>
      <w:r>
        <w:rPr>
          <w:rFonts w:hint="eastAsia" w:ascii="仿宋_GB2312" w:hAnsi="仿宋_GB2312" w:eastAsia="仿宋_GB2312" w:cs="仿宋_GB2312"/>
          <w:color w:val="000000"/>
          <w:sz w:val="32"/>
          <w:szCs w:val="32"/>
        </w:rPr>
        <w:t>协议</w:t>
      </w:r>
      <w:r>
        <w:rPr>
          <w:rFonts w:hint="eastAsia" w:ascii="仿宋_GB2312" w:hAnsi="仿宋_GB2312" w:eastAsia="仿宋_GB2312" w:cs="仿宋_GB2312"/>
          <w:sz w:val="32"/>
          <w:szCs w:val="32"/>
        </w:rPr>
        <w:t>按季度直接支付到</w:t>
      </w:r>
      <w:r>
        <w:rPr>
          <w:rFonts w:hint="eastAsia" w:ascii="仿宋_GB2312" w:hAnsi="仿宋_GB2312" w:eastAsia="仿宋_GB2312" w:cs="仿宋_GB2312"/>
          <w:sz w:val="32"/>
          <w:szCs w:val="32"/>
          <w:lang w:eastAsia="zh-CN"/>
        </w:rPr>
        <w:t>农村</w:t>
      </w:r>
      <w:r>
        <w:rPr>
          <w:rFonts w:hint="eastAsia" w:ascii="仿宋_GB2312" w:hAnsi="仿宋_GB2312" w:eastAsia="仿宋_GB2312" w:cs="仿宋_GB2312"/>
          <w:sz w:val="32"/>
          <w:szCs w:val="32"/>
        </w:rPr>
        <w:t>特困人员账户或其监护人的账户中</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2.集中供养。统一支付到供养服务机构账户。</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（二）照料护理费。</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1.分散供养</w:t>
      </w:r>
      <w:r>
        <w:rPr>
          <w:rFonts w:hint="eastAsia" w:ascii="仿宋_GB2312" w:eastAsia="仿宋_GB2312"/>
          <w:color w:val="000000"/>
          <w:sz w:val="32"/>
          <w:szCs w:val="32"/>
          <w:lang w:eastAsia="zh-CN"/>
        </w:rPr>
        <w:t>：</w:t>
      </w:r>
      <w:r>
        <w:rPr>
          <w:rFonts w:hint="eastAsia" w:ascii="仿宋_GB2312" w:eastAsia="仿宋_GB2312"/>
          <w:color w:val="000000"/>
          <w:sz w:val="32"/>
          <w:szCs w:val="32"/>
        </w:rPr>
        <w:t>按照服务协议支付服务费用到</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w:t>
      </w:r>
      <w:r>
        <w:rPr>
          <w:rFonts w:hint="eastAsia" w:ascii="仿宋_GB2312" w:eastAsia="仿宋_GB2312"/>
          <w:color w:val="000000"/>
          <w:sz w:val="32"/>
          <w:szCs w:val="32"/>
          <w:lang w:eastAsia="zh-CN"/>
        </w:rPr>
        <w:t>账户或</w:t>
      </w:r>
      <w:r>
        <w:rPr>
          <w:rFonts w:hint="eastAsia" w:ascii="仿宋_GB2312" w:eastAsia="仿宋_GB2312"/>
          <w:color w:val="000000"/>
          <w:sz w:val="32"/>
          <w:szCs w:val="32"/>
        </w:rPr>
        <w:t>监护人账户；</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2.集中供养。按照服务人数及</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特困人员生活自理能力标准直接划拨到服务机构账户。</w:t>
      </w:r>
    </w:p>
    <w:p>
      <w:pPr>
        <w:keepNext w:val="0"/>
        <w:keepLines w:val="0"/>
        <w:pageBreakBefore w:val="0"/>
        <w:widowControl w:val="0"/>
        <w:kinsoku/>
        <w:wordWrap/>
        <w:overflowPunct/>
        <w:topLinePunct w:val="0"/>
        <w:autoSpaceDE/>
        <w:autoSpaceDN/>
        <w:bidi w:val="0"/>
        <w:adjustRightInd/>
        <w:snapToGrid/>
        <w:spacing w:before="159" w:beforeLines="50" w:after="159" w:afterLines="50" w:line="600" w:lineRule="exact"/>
        <w:ind w:left="0" w:leftChars="0" w:right="0" w:rightChars="0" w:firstLine="0" w:firstLineChars="0"/>
        <w:jc w:val="center"/>
        <w:textAlignment w:val="auto"/>
        <w:outlineLvl w:val="9"/>
        <w:rPr>
          <w:rFonts w:hint="eastAsia" w:ascii="黑体" w:eastAsia="黑体"/>
          <w:color w:val="000000"/>
          <w:sz w:val="32"/>
          <w:szCs w:val="32"/>
        </w:rPr>
      </w:pPr>
      <w:r>
        <w:rPr>
          <w:rFonts w:hint="eastAsia" w:ascii="黑体" w:eastAsia="黑体"/>
          <w:color w:val="000000"/>
          <w:sz w:val="32"/>
          <w:szCs w:val="32"/>
        </w:rPr>
        <w:t>第九章 工作管理</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sz w:val="32"/>
          <w:szCs w:val="32"/>
        </w:rPr>
        <w:t>第三十二条</w:t>
      </w:r>
      <w:r>
        <w:rPr>
          <w:rFonts w:hint="eastAsia" w:ascii="仿宋_GB2312" w:eastAsia="仿宋_GB2312"/>
          <w:color w:val="000000"/>
          <w:sz w:val="32"/>
          <w:szCs w:val="32"/>
        </w:rPr>
        <w:t xml:space="preserve">  动态管理。</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特困人员死亡或生活自理能力恢复的，村民委员会或供养服务机构应当通过镇人民政府（街道办事处）及时报告县民政局。</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丧葬事宜</w:t>
      </w:r>
      <w:r>
        <w:rPr>
          <w:rFonts w:hint="eastAsia" w:ascii="仿宋_GB2312" w:eastAsia="仿宋_GB2312"/>
          <w:color w:val="000000"/>
          <w:sz w:val="32"/>
          <w:szCs w:val="32"/>
          <w:lang w:eastAsia="zh-CN"/>
        </w:rPr>
        <w:t>：</w:t>
      </w:r>
      <w:r>
        <w:rPr>
          <w:rFonts w:hint="eastAsia" w:ascii="仿宋_GB2312" w:eastAsia="仿宋_GB2312"/>
          <w:color w:val="000000"/>
          <w:sz w:val="32"/>
          <w:szCs w:val="32"/>
        </w:rPr>
        <w:t>集中供养的由供养服务机构办理，分散供养的由镇人民政府（街道办事处）委托村民委员会或监护人办理。</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对生活自理能力发生变化的，</w:t>
      </w:r>
      <w:r>
        <w:rPr>
          <w:rFonts w:hint="eastAsia" w:ascii="仿宋_GB2312" w:eastAsia="仿宋_GB2312"/>
          <w:color w:val="000000"/>
          <w:sz w:val="32"/>
          <w:szCs w:val="32"/>
          <w:lang w:eastAsia="zh-CN"/>
        </w:rPr>
        <w:t>县</w:t>
      </w:r>
      <w:r>
        <w:rPr>
          <w:rFonts w:hint="eastAsia" w:ascii="仿宋_GB2312" w:eastAsia="仿宋_GB2312"/>
          <w:color w:val="000000"/>
          <w:sz w:val="32"/>
          <w:szCs w:val="32"/>
        </w:rPr>
        <w:t>民政局在10个工作日内组织复核评估，并根据评估结果及时调整生活自理能力认定类别。</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sz w:val="32"/>
          <w:szCs w:val="32"/>
        </w:rPr>
        <w:t xml:space="preserve">第三十三条 </w:t>
      </w:r>
      <w:r>
        <w:rPr>
          <w:rFonts w:hint="eastAsia" w:ascii="仿宋_GB2312" w:eastAsia="仿宋_GB2312"/>
          <w:b/>
          <w:color w:val="000000"/>
          <w:sz w:val="32"/>
          <w:szCs w:val="32"/>
        </w:rPr>
        <w:t xml:space="preserve"> </w:t>
      </w:r>
      <w:r>
        <w:rPr>
          <w:rFonts w:hint="eastAsia" w:ascii="仿宋_GB2312" w:eastAsia="仿宋_GB2312"/>
          <w:color w:val="000000"/>
          <w:sz w:val="32"/>
          <w:szCs w:val="32"/>
        </w:rPr>
        <w:t>年检复核。</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特困人员每年复核一次。符合条件的继续享受</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特困人员供养待遇；不符合条件的按终止程序予以取消。</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sz w:val="32"/>
          <w:szCs w:val="32"/>
        </w:rPr>
        <w:t xml:space="preserve">第三十四条 </w:t>
      </w:r>
      <w:r>
        <w:rPr>
          <w:rFonts w:hint="eastAsia" w:ascii="仿宋_GB2312" w:eastAsia="仿宋_GB2312"/>
          <w:color w:val="000000"/>
          <w:sz w:val="32"/>
          <w:szCs w:val="32"/>
        </w:rPr>
        <w:t xml:space="preserve"> 制度衔接。</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特困人员符合相关政策条件的，可同时享受城乡居民基本养老保险、基本医疗保险等社会保险和高龄津贴等社会福利待遇。</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符合孤儿认定条件的不再纳入</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特困人员救助供养范围；符合</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特困人员认定条件的不再纳入最低生活保障范围，不再享受困难残疾人生活补贴和重度残疾人护理补贴</w:t>
      </w:r>
      <w:r>
        <w:rPr>
          <w:rFonts w:hint="eastAsia" w:ascii="仿宋_GB2312" w:eastAsia="仿宋_GB2312"/>
          <w:color w:val="000000"/>
          <w:sz w:val="32"/>
          <w:szCs w:val="32"/>
          <w:lang w:eastAsia="zh-CN"/>
        </w:rPr>
        <w:t>。</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对终止救助供养的原</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特困人员，符合最低生活保障、医疗救助、临时救助等其他社会救助条件的，应当按规定及时纳入救助范围。</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sz w:val="32"/>
          <w:szCs w:val="32"/>
        </w:rPr>
        <w:t>第三十五条</w:t>
      </w:r>
      <w:r>
        <w:rPr>
          <w:rFonts w:hint="eastAsia" w:ascii="仿宋_GB2312" w:eastAsia="仿宋_GB2312"/>
          <w:color w:val="000000"/>
          <w:sz w:val="32"/>
          <w:szCs w:val="32"/>
        </w:rPr>
        <w:t xml:space="preserve">  </w:t>
      </w:r>
      <w:r>
        <w:rPr>
          <w:rFonts w:hint="eastAsia" w:ascii="仿宋_GB2312" w:eastAsia="仿宋_GB2312"/>
          <w:color w:val="000000"/>
          <w:sz w:val="32"/>
          <w:szCs w:val="32"/>
          <w:lang w:eastAsia="zh-CN"/>
        </w:rPr>
        <w:t>县</w:t>
      </w:r>
      <w:r>
        <w:rPr>
          <w:rFonts w:hint="eastAsia" w:ascii="仿宋_GB2312" w:eastAsia="仿宋_GB2312"/>
          <w:color w:val="000000"/>
          <w:sz w:val="32"/>
          <w:szCs w:val="32"/>
        </w:rPr>
        <w:t>民政局、镇人民政府（街道办事处）、供养服务机构依据有关规定建立健全</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特困人员档案。</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sz w:val="32"/>
          <w:szCs w:val="32"/>
        </w:rPr>
        <w:t>第三十六条</w:t>
      </w:r>
      <w:r>
        <w:rPr>
          <w:rFonts w:eastAsia="仿宋_GB2312"/>
          <w:color w:val="000000"/>
          <w:sz w:val="32"/>
          <w:szCs w:val="32"/>
        </w:rPr>
        <w:t xml:space="preserve">  </w:t>
      </w:r>
      <w:r>
        <w:rPr>
          <w:rFonts w:hint="eastAsia" w:ascii="仿宋_GB2312" w:eastAsia="仿宋_GB2312"/>
          <w:color w:val="000000"/>
          <w:sz w:val="32"/>
          <w:szCs w:val="32"/>
        </w:rPr>
        <w:t>鼓励运用政府和社会资本合作模式，采取公建民营、民办公助等方式，支持供养服务机构建设。引导、激励公益慈善组织、社会工作服务机构以及社会力量举办的养老、医疗等服务机构，为特困人员提供专业化、个性化服务。</w:t>
      </w:r>
    </w:p>
    <w:p>
      <w:pPr>
        <w:keepNext w:val="0"/>
        <w:keepLines w:val="0"/>
        <w:pageBreakBefore w:val="0"/>
        <w:kinsoku/>
        <w:wordWrap/>
        <w:overflowPunct/>
        <w:topLinePunct w:val="0"/>
        <w:autoSpaceDN/>
        <w:bidi w:val="0"/>
        <w:adjustRightInd/>
        <w:snapToGrid/>
        <w:spacing w:line="600" w:lineRule="exact"/>
        <w:ind w:left="0" w:leftChars="0" w:right="0" w:rightChars="0"/>
        <w:jc w:val="center"/>
        <w:textAlignment w:val="auto"/>
        <w:outlineLvl w:val="9"/>
        <w:rPr>
          <w:rFonts w:hint="eastAsia" w:ascii="黑体" w:eastAsia="黑体"/>
          <w:color w:val="000000"/>
          <w:sz w:val="32"/>
          <w:szCs w:val="32"/>
        </w:rPr>
      </w:pPr>
      <w:r>
        <w:rPr>
          <w:rFonts w:hint="eastAsia" w:ascii="黑体" w:eastAsia="黑体"/>
          <w:color w:val="000000"/>
          <w:sz w:val="32"/>
          <w:szCs w:val="32"/>
        </w:rPr>
        <w:t>第十章</w:t>
      </w:r>
      <w:r>
        <w:rPr>
          <w:rFonts w:eastAsia="黑体"/>
          <w:color w:val="000000"/>
          <w:sz w:val="32"/>
          <w:szCs w:val="32"/>
        </w:rPr>
        <w:t xml:space="preserve">   </w:t>
      </w:r>
      <w:r>
        <w:rPr>
          <w:rFonts w:hint="eastAsia" w:ascii="黑体" w:eastAsia="黑体"/>
          <w:color w:val="000000"/>
          <w:sz w:val="32"/>
          <w:szCs w:val="32"/>
        </w:rPr>
        <w:t>法律责任</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sz w:val="32"/>
          <w:szCs w:val="32"/>
        </w:rPr>
        <w:t xml:space="preserve">第三十七条 </w:t>
      </w:r>
      <w:r>
        <w:rPr>
          <w:rFonts w:eastAsia="仿宋_GB2312"/>
          <w:color w:val="000000"/>
          <w:sz w:val="32"/>
          <w:szCs w:val="32"/>
        </w:rPr>
        <w:t xml:space="preserve"> </w:t>
      </w:r>
      <w:r>
        <w:rPr>
          <w:rFonts w:hint="eastAsia" w:ascii="仿宋_GB2312" w:eastAsia="仿宋_GB2312"/>
          <w:color w:val="000000"/>
          <w:sz w:val="32"/>
          <w:szCs w:val="32"/>
        </w:rPr>
        <w:t>违反本办法规定，有下列情形之一的，由上级行政机关或者监察机关责令改正；对直接负责的主管人员和其他直接责任人员依法给予处分：</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（一）对符合救助供养条件的申请不予受理的；</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（二）对符合救助供养条件的申请不予批准的；</w:t>
      </w:r>
    </w:p>
    <w:p>
      <w:pPr>
        <w:keepNext w:val="0"/>
        <w:keepLines w:val="0"/>
        <w:pageBreakBefore w:val="0"/>
        <w:kinsoku/>
        <w:wordWrap/>
        <w:overflowPunct/>
        <w:topLinePunct w:val="0"/>
        <w:autoSpaceDN/>
        <w:bidi w:val="0"/>
        <w:adjustRightInd/>
        <w:snapToGrid/>
        <w:spacing w:line="600" w:lineRule="exact"/>
        <w:ind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（三）对不符合救助供养条件的申请予以批准的；</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（四）泄露在工作中知悉的公民个人信息，造成后果的；</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（五）丢失、篡改接受救助供养款物、服务记录等数据的；</w:t>
      </w:r>
    </w:p>
    <w:p>
      <w:pPr>
        <w:keepNext w:val="0"/>
        <w:keepLines w:val="0"/>
        <w:pageBreakBefore w:val="0"/>
        <w:kinsoku/>
        <w:wordWrap/>
        <w:overflowPunct/>
        <w:topLinePunct w:val="0"/>
        <w:autoSpaceDN/>
        <w:bidi w:val="0"/>
        <w:adjustRightInd/>
        <w:snapToGrid/>
        <w:spacing w:line="600" w:lineRule="exact"/>
        <w:ind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（六）不按照规定发放救助供养资金、物资或者提供相关服务的；</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（七）</w:t>
      </w:r>
      <w:r>
        <w:rPr>
          <w:rFonts w:hint="eastAsia" w:ascii="仿宋_GB2312" w:eastAsia="仿宋_GB2312"/>
          <w:color w:val="000000"/>
          <w:sz w:val="32"/>
          <w:szCs w:val="32"/>
          <w:lang w:eastAsia="zh-CN"/>
        </w:rPr>
        <w:t>在</w:t>
      </w:r>
      <w:r>
        <w:rPr>
          <w:rFonts w:hint="eastAsia" w:ascii="仿宋_GB2312" w:eastAsia="仿宋_GB2312"/>
          <w:color w:val="000000"/>
          <w:sz w:val="32"/>
          <w:szCs w:val="32"/>
        </w:rPr>
        <w:t>履行社会救助职责过程中有其他滥用职权、玩忽职守、徇私舞弊行为的。</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sz w:val="32"/>
          <w:szCs w:val="32"/>
        </w:rPr>
        <w:t xml:space="preserve">第三十八条 </w:t>
      </w:r>
      <w:r>
        <w:rPr>
          <w:rFonts w:eastAsia="仿宋_GB2312"/>
          <w:color w:val="000000"/>
          <w:sz w:val="32"/>
          <w:szCs w:val="32"/>
        </w:rPr>
        <w:t xml:space="preserve"> </w:t>
      </w:r>
      <w:r>
        <w:rPr>
          <w:rFonts w:hint="eastAsia" w:ascii="仿宋_GB2312" w:eastAsia="仿宋_GB2312"/>
          <w:color w:val="000000"/>
          <w:sz w:val="32"/>
          <w:szCs w:val="32"/>
        </w:rPr>
        <w:t>违反本办法规定，截留、挤占、挪用、私分救助供养资金、物资的，由有关部门责令追回；有违法所得的，没收违法所得；对直接负责的主管人员和其他直接责任人员依法给予处分。</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sz w:val="32"/>
          <w:szCs w:val="32"/>
        </w:rPr>
        <w:t>第三十九条</w:t>
      </w:r>
      <w:r>
        <w:rPr>
          <w:rFonts w:eastAsia="仿宋_GB2312"/>
          <w:color w:val="000000"/>
          <w:sz w:val="32"/>
          <w:szCs w:val="32"/>
        </w:rPr>
        <w:t xml:space="preserve">  </w:t>
      </w:r>
      <w:r>
        <w:rPr>
          <w:rFonts w:hint="eastAsia" w:ascii="仿宋_GB2312" w:eastAsia="仿宋_GB2312"/>
          <w:color w:val="000000"/>
          <w:sz w:val="32"/>
          <w:szCs w:val="32"/>
        </w:rPr>
        <w:t>采取虚报、隐瞒、伪造等手段，骗取救助供养资金、物资或者服务的，由有关部门决定停止救助供养，责令退回非法获取的救助供养资金、物资，可处以非法获取的救助供养款额或者物资价值</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倍以上</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倍以下的罚款。</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sz w:val="32"/>
          <w:szCs w:val="32"/>
        </w:rPr>
        <w:t xml:space="preserve">第四十条 </w:t>
      </w:r>
      <w:r>
        <w:rPr>
          <w:rFonts w:eastAsia="仿宋_GB2312"/>
          <w:color w:val="000000"/>
          <w:sz w:val="32"/>
          <w:szCs w:val="32"/>
        </w:rPr>
        <w:t xml:space="preserve"> </w:t>
      </w:r>
      <w:r>
        <w:rPr>
          <w:rFonts w:hint="eastAsia" w:ascii="仿宋_GB2312" w:eastAsia="仿宋_GB2312"/>
          <w:color w:val="000000"/>
          <w:sz w:val="32"/>
          <w:szCs w:val="32"/>
        </w:rPr>
        <w:t>违反本办法规定的行为，构成犯罪的，依法追究刑事责任。</w:t>
      </w:r>
    </w:p>
    <w:p>
      <w:pPr>
        <w:keepNext w:val="0"/>
        <w:keepLines w:val="0"/>
        <w:pageBreakBefore w:val="0"/>
        <w:widowControl w:val="0"/>
        <w:kinsoku/>
        <w:wordWrap/>
        <w:overflowPunct/>
        <w:topLinePunct w:val="0"/>
        <w:autoSpaceDE/>
        <w:autoSpaceDN/>
        <w:bidi w:val="0"/>
        <w:adjustRightInd/>
        <w:snapToGrid/>
        <w:spacing w:before="159" w:beforeLines="50" w:after="159" w:afterLines="50" w:line="600" w:lineRule="exact"/>
        <w:ind w:left="0" w:leftChars="0" w:right="0" w:rightChars="0" w:firstLine="0" w:firstLineChars="0"/>
        <w:jc w:val="center"/>
        <w:textAlignment w:val="auto"/>
        <w:outlineLvl w:val="9"/>
        <w:rPr>
          <w:rFonts w:hint="eastAsia" w:ascii="黑体" w:eastAsia="黑体"/>
          <w:color w:val="000000"/>
          <w:sz w:val="32"/>
          <w:szCs w:val="32"/>
        </w:rPr>
      </w:pPr>
      <w:r>
        <w:rPr>
          <w:rFonts w:hint="eastAsia" w:ascii="黑体" w:eastAsia="黑体"/>
          <w:color w:val="000000"/>
          <w:sz w:val="32"/>
          <w:szCs w:val="32"/>
        </w:rPr>
        <w:t>第十一章  附  则</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lang w:val="en-US" w:eastAsia="zh-CN"/>
        </w:rPr>
      </w:pPr>
      <w:r>
        <w:rPr>
          <w:rFonts w:hint="eastAsia" w:ascii="仿宋_GB2312" w:hAnsi="仿宋_GB2312" w:eastAsia="仿宋_GB2312" w:cs="仿宋_GB2312"/>
          <w:b/>
          <w:bCs/>
          <w:color w:val="000000"/>
          <w:sz w:val="32"/>
          <w:szCs w:val="32"/>
        </w:rPr>
        <w:t>第四十一条</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eastAsia="zh-CN"/>
        </w:rPr>
        <w:t>其他</w:t>
      </w:r>
      <w:r>
        <w:rPr>
          <w:rFonts w:hint="eastAsia" w:ascii="仿宋_GB2312" w:eastAsia="仿宋_GB2312"/>
          <w:color w:val="000000"/>
          <w:sz w:val="32"/>
          <w:szCs w:val="32"/>
          <w:lang w:val="en-US" w:eastAsia="zh-CN"/>
        </w:rPr>
        <w:t>严重精神病患者（非特困人员），特别是存在危及自身或群众生命安全风险的，经审核确认法定赡养、抚养、扶养义务人无履行义务能力，并经民政部门指定的专业鉴定机构出具证明后，参照本办法实施救助供养。</w:t>
      </w:r>
    </w:p>
    <w:p>
      <w:pPr>
        <w:keepNext w:val="0"/>
        <w:keepLines w:val="0"/>
        <w:pageBreakBefore w:val="0"/>
        <w:kinsoku/>
        <w:wordWrap/>
        <w:overflowPunct/>
        <w:topLinePunct w:val="0"/>
        <w:autoSpaceDN/>
        <w:bidi w:val="0"/>
        <w:adjustRightInd/>
        <w:snapToGrid/>
        <w:spacing w:line="600" w:lineRule="exact"/>
        <w:ind w:left="0" w:leftChars="0" w:right="0" w:rightChars="0" w:firstLine="655" w:firstLineChars="204"/>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sz w:val="32"/>
          <w:szCs w:val="32"/>
          <w:lang w:eastAsia="zh-CN"/>
        </w:rPr>
        <w:t>第四十二条</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sz w:val="32"/>
          <w:szCs w:val="32"/>
        </w:rPr>
        <w:t xml:space="preserve">本办法自 </w:t>
      </w:r>
      <w:r>
        <w:rPr>
          <w:rFonts w:hint="eastAsia" w:ascii="仿宋_GB2312" w:hAnsi="仿宋_GB2312" w:eastAsia="仿宋_GB2312" w:cs="仿宋_GB2312"/>
          <w:sz w:val="32"/>
          <w:szCs w:val="32"/>
          <w:lang w:val="en-US" w:eastAsia="zh-CN"/>
        </w:rPr>
        <w:t>2017</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 xml:space="preserve">日起执行，至 </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日废止，有效期为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年。</w:t>
      </w:r>
    </w:p>
    <w:p>
      <w:pPr>
        <w:keepNext w:val="0"/>
        <w:keepLines w:val="0"/>
        <w:pageBreakBefore w:val="0"/>
        <w:kinsoku/>
        <w:wordWrap/>
        <w:overflowPunct/>
        <w:topLinePunct w:val="0"/>
        <w:autoSpaceDN/>
        <w:bidi w:val="0"/>
        <w:adjustRightInd/>
        <w:snapToGrid/>
        <w:spacing w:line="600" w:lineRule="exact"/>
        <w:ind w:right="0" w:rightChars="0"/>
        <w:textAlignment w:val="auto"/>
        <w:outlineLvl w:val="9"/>
        <w:rPr>
          <w:rFonts w:hint="eastAsia" w:ascii="Times New Roman" w:eastAsia="宋体"/>
          <w:color w:val="000000"/>
          <w:szCs w:val="24"/>
          <w:lang w:val="en-US" w:eastAsia="zh-CN"/>
        </w:rPr>
      </w:pPr>
    </w:p>
    <w:sectPr>
      <w:footerReference r:id="rId9" w:type="default"/>
      <w:footerReference r:id="rId10" w:type="even"/>
      <w:pgSz w:w="11906" w:h="16838"/>
      <w:pgMar w:top="1701" w:right="1587" w:bottom="1587" w:left="1701" w:header="850" w:footer="992"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PAGE   \* MERGEFORMAT</w:instrText>
    </w:r>
    <w:r>
      <w:rPr>
        <w:rFonts w:hint="eastAsia" w:ascii="仿宋_GB2312" w:eastAsia="仿宋_GB2312"/>
        <w:sz w:val="32"/>
        <w:szCs w:val="32"/>
      </w:rPr>
      <w:fldChar w:fldCharType="separate"/>
    </w:r>
    <w:r>
      <w:rPr>
        <w:rFonts w:ascii="仿宋_GB2312" w:eastAsia="仿宋_GB2312"/>
        <w:sz w:val="32"/>
        <w:szCs w:val="32"/>
        <w:lang w:val="zh-CN" w:eastAsia="zh-CN"/>
      </w:rPr>
      <w:t>-</w:t>
    </w:r>
    <w:r>
      <w:rPr>
        <w:rFonts w:ascii="仿宋_GB2312" w:eastAsia="仿宋_GB2312"/>
        <w:sz w:val="32"/>
        <w:szCs w:val="32"/>
        <w:lang w:val="en-US" w:eastAsia="zh-CN"/>
      </w:rPr>
      <w:t xml:space="preserve"> 14 -</w:t>
    </w:r>
    <w:r>
      <w:rPr>
        <w:rFonts w:hint="eastAsia" w:ascii="仿宋_GB2312" w:eastAsia="仿宋_GB2312"/>
        <w:sz w:val="32"/>
        <w:szCs w:val="32"/>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PAGE   \* MERGEFORMAT</w:instrText>
    </w:r>
    <w:r>
      <w:rPr>
        <w:rFonts w:hint="eastAsia" w:ascii="仿宋_GB2312" w:eastAsia="仿宋_GB2312"/>
        <w:sz w:val="32"/>
        <w:szCs w:val="32"/>
      </w:rPr>
      <w:fldChar w:fldCharType="separate"/>
    </w:r>
    <w:r>
      <w:rPr>
        <w:rFonts w:ascii="仿宋_GB2312" w:eastAsia="仿宋_GB2312"/>
        <w:sz w:val="32"/>
        <w:szCs w:val="32"/>
        <w:lang w:val="zh-CN" w:eastAsia="zh-CN"/>
      </w:rPr>
      <w:t>-</w:t>
    </w:r>
    <w:r>
      <w:rPr>
        <w:rFonts w:ascii="仿宋_GB2312" w:eastAsia="仿宋_GB2312"/>
        <w:sz w:val="32"/>
        <w:szCs w:val="32"/>
        <w:lang w:val="en-US" w:eastAsia="zh-CN"/>
      </w:rPr>
      <w:t xml:space="preserve"> 14 -</w:t>
    </w:r>
    <w:r>
      <w:rPr>
        <w:rFonts w:hint="eastAsia" w:ascii="仿宋_GB2312" w:eastAsia="仿宋_GB2312"/>
        <w:sz w:val="32"/>
        <w:szCs w:val="32"/>
      </w:rPr>
      <w:fldChar w:fldCharType="end"/>
    </w:r>
  </w:p>
  <w:p>
    <w:pPr>
      <w:pStyle w:val="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PAGE   \* MERGEFORMAT</w:instrText>
    </w:r>
    <w:r>
      <w:rPr>
        <w:rFonts w:hint="eastAsia" w:ascii="仿宋_GB2312" w:eastAsia="仿宋_GB2312"/>
        <w:sz w:val="32"/>
        <w:szCs w:val="32"/>
      </w:rPr>
      <w:fldChar w:fldCharType="separate"/>
    </w:r>
    <w:r>
      <w:rPr>
        <w:rFonts w:ascii="仿宋_GB2312" w:eastAsia="仿宋_GB2312"/>
        <w:sz w:val="32"/>
        <w:szCs w:val="32"/>
        <w:lang w:val="zh-CN" w:eastAsia="zh-CN"/>
      </w:rPr>
      <w:t>-</w:t>
    </w:r>
    <w:r>
      <w:rPr>
        <w:rFonts w:ascii="仿宋_GB2312" w:eastAsia="仿宋_GB2312"/>
        <w:sz w:val="32"/>
        <w:szCs w:val="32"/>
        <w:lang w:val="en-US" w:eastAsia="zh-CN"/>
      </w:rPr>
      <w:t xml:space="preserve"> 14 -</w:t>
    </w:r>
    <w:r>
      <w:rPr>
        <w:rFonts w:hint="eastAsia" w:ascii="仿宋_GB2312" w:eastAsia="仿宋_GB2312"/>
        <w:sz w:val="32"/>
        <w:szCs w:val="32"/>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true"/>
  <w:bordersDoNotSurroundFooter w:val="true"/>
  <w:documentProtection w:enforcement="0"/>
  <w:defaultTabStop w:val="420"/>
  <w:evenAndOddHeaders w:val="true"/>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141"/>
    <w:rsid w:val="00002488"/>
    <w:rsid w:val="0000536A"/>
    <w:rsid w:val="00007487"/>
    <w:rsid w:val="00013EC8"/>
    <w:rsid w:val="00025AD2"/>
    <w:rsid w:val="00033A38"/>
    <w:rsid w:val="00036552"/>
    <w:rsid w:val="0004611C"/>
    <w:rsid w:val="00047491"/>
    <w:rsid w:val="00051E45"/>
    <w:rsid w:val="00061F72"/>
    <w:rsid w:val="00081B52"/>
    <w:rsid w:val="00085270"/>
    <w:rsid w:val="00085536"/>
    <w:rsid w:val="00096D83"/>
    <w:rsid w:val="000B22E7"/>
    <w:rsid w:val="000B53F9"/>
    <w:rsid w:val="000D4417"/>
    <w:rsid w:val="000D55C0"/>
    <w:rsid w:val="000D6892"/>
    <w:rsid w:val="000F127B"/>
    <w:rsid w:val="00104372"/>
    <w:rsid w:val="0011231E"/>
    <w:rsid w:val="00115B76"/>
    <w:rsid w:val="00124216"/>
    <w:rsid w:val="00130972"/>
    <w:rsid w:val="00146D4A"/>
    <w:rsid w:val="001609C8"/>
    <w:rsid w:val="001638A3"/>
    <w:rsid w:val="00171FD3"/>
    <w:rsid w:val="0018517B"/>
    <w:rsid w:val="001A1C0C"/>
    <w:rsid w:val="001A4471"/>
    <w:rsid w:val="001B02BF"/>
    <w:rsid w:val="001B1A88"/>
    <w:rsid w:val="001B3953"/>
    <w:rsid w:val="001B7B51"/>
    <w:rsid w:val="001C712D"/>
    <w:rsid w:val="001E2C0D"/>
    <w:rsid w:val="001F0C17"/>
    <w:rsid w:val="001F112B"/>
    <w:rsid w:val="001F19F0"/>
    <w:rsid w:val="001F3A49"/>
    <w:rsid w:val="001F74B5"/>
    <w:rsid w:val="00203347"/>
    <w:rsid w:val="00206ED6"/>
    <w:rsid w:val="0021122F"/>
    <w:rsid w:val="00214DB9"/>
    <w:rsid w:val="00223DE5"/>
    <w:rsid w:val="00244990"/>
    <w:rsid w:val="0025164C"/>
    <w:rsid w:val="00255752"/>
    <w:rsid w:val="002563BB"/>
    <w:rsid w:val="00267122"/>
    <w:rsid w:val="00271C67"/>
    <w:rsid w:val="0027426C"/>
    <w:rsid w:val="002805CC"/>
    <w:rsid w:val="002A24ED"/>
    <w:rsid w:val="002B1A41"/>
    <w:rsid w:val="002B351E"/>
    <w:rsid w:val="002C4F3F"/>
    <w:rsid w:val="002C659A"/>
    <w:rsid w:val="002D1A78"/>
    <w:rsid w:val="002E2989"/>
    <w:rsid w:val="002E6FB6"/>
    <w:rsid w:val="002F232A"/>
    <w:rsid w:val="002F570C"/>
    <w:rsid w:val="00302413"/>
    <w:rsid w:val="00302F55"/>
    <w:rsid w:val="00307141"/>
    <w:rsid w:val="003108EB"/>
    <w:rsid w:val="00316AB1"/>
    <w:rsid w:val="00321454"/>
    <w:rsid w:val="00330906"/>
    <w:rsid w:val="00334144"/>
    <w:rsid w:val="0034069F"/>
    <w:rsid w:val="003448FD"/>
    <w:rsid w:val="00345319"/>
    <w:rsid w:val="00351C26"/>
    <w:rsid w:val="003672B7"/>
    <w:rsid w:val="00380B88"/>
    <w:rsid w:val="00391405"/>
    <w:rsid w:val="00394209"/>
    <w:rsid w:val="003A04D3"/>
    <w:rsid w:val="003A2021"/>
    <w:rsid w:val="003A2632"/>
    <w:rsid w:val="003A592F"/>
    <w:rsid w:val="003C1979"/>
    <w:rsid w:val="003C5FFB"/>
    <w:rsid w:val="003C73D0"/>
    <w:rsid w:val="003C7CD9"/>
    <w:rsid w:val="003D4292"/>
    <w:rsid w:val="003D556C"/>
    <w:rsid w:val="003D5DBF"/>
    <w:rsid w:val="003E0BE4"/>
    <w:rsid w:val="003E72A7"/>
    <w:rsid w:val="003F1831"/>
    <w:rsid w:val="004016A1"/>
    <w:rsid w:val="00407EA0"/>
    <w:rsid w:val="00412F7B"/>
    <w:rsid w:val="00415194"/>
    <w:rsid w:val="004256CA"/>
    <w:rsid w:val="0042709A"/>
    <w:rsid w:val="00431CE4"/>
    <w:rsid w:val="004466B8"/>
    <w:rsid w:val="0045312E"/>
    <w:rsid w:val="004648E8"/>
    <w:rsid w:val="00467B0B"/>
    <w:rsid w:val="004707EF"/>
    <w:rsid w:val="00485285"/>
    <w:rsid w:val="0048698E"/>
    <w:rsid w:val="004A11EE"/>
    <w:rsid w:val="004B0C38"/>
    <w:rsid w:val="004C5C59"/>
    <w:rsid w:val="004D53B5"/>
    <w:rsid w:val="004E0617"/>
    <w:rsid w:val="004E792A"/>
    <w:rsid w:val="004F2023"/>
    <w:rsid w:val="004F7291"/>
    <w:rsid w:val="004F7AF1"/>
    <w:rsid w:val="00503160"/>
    <w:rsid w:val="00511000"/>
    <w:rsid w:val="00511A0F"/>
    <w:rsid w:val="005223E3"/>
    <w:rsid w:val="00523884"/>
    <w:rsid w:val="00524B9C"/>
    <w:rsid w:val="005308FA"/>
    <w:rsid w:val="00536DBF"/>
    <w:rsid w:val="00543B10"/>
    <w:rsid w:val="00562239"/>
    <w:rsid w:val="00562828"/>
    <w:rsid w:val="00563265"/>
    <w:rsid w:val="005735A1"/>
    <w:rsid w:val="00576CD4"/>
    <w:rsid w:val="00581AC8"/>
    <w:rsid w:val="00582F7E"/>
    <w:rsid w:val="00583670"/>
    <w:rsid w:val="00585AD4"/>
    <w:rsid w:val="00590732"/>
    <w:rsid w:val="00591D3B"/>
    <w:rsid w:val="00593AAF"/>
    <w:rsid w:val="00594602"/>
    <w:rsid w:val="005A2151"/>
    <w:rsid w:val="005A4439"/>
    <w:rsid w:val="005B2FC3"/>
    <w:rsid w:val="005C0493"/>
    <w:rsid w:val="005C353F"/>
    <w:rsid w:val="005C797B"/>
    <w:rsid w:val="005D1F96"/>
    <w:rsid w:val="005D3EB3"/>
    <w:rsid w:val="005D6DB7"/>
    <w:rsid w:val="005D797C"/>
    <w:rsid w:val="005F219D"/>
    <w:rsid w:val="00600E81"/>
    <w:rsid w:val="006159AB"/>
    <w:rsid w:val="00623900"/>
    <w:rsid w:val="006262D3"/>
    <w:rsid w:val="00626FD1"/>
    <w:rsid w:val="00632707"/>
    <w:rsid w:val="00636AFE"/>
    <w:rsid w:val="00646399"/>
    <w:rsid w:val="0067643B"/>
    <w:rsid w:val="006807F2"/>
    <w:rsid w:val="0068160F"/>
    <w:rsid w:val="00693CFB"/>
    <w:rsid w:val="006A2720"/>
    <w:rsid w:val="006A632F"/>
    <w:rsid w:val="006D08C7"/>
    <w:rsid w:val="006D4FDF"/>
    <w:rsid w:val="006D7EC9"/>
    <w:rsid w:val="006F60B4"/>
    <w:rsid w:val="00700C84"/>
    <w:rsid w:val="007048FD"/>
    <w:rsid w:val="00710F32"/>
    <w:rsid w:val="0073337F"/>
    <w:rsid w:val="00733EE6"/>
    <w:rsid w:val="0073783A"/>
    <w:rsid w:val="00746006"/>
    <w:rsid w:val="007477D2"/>
    <w:rsid w:val="00752DDE"/>
    <w:rsid w:val="007554C5"/>
    <w:rsid w:val="00790857"/>
    <w:rsid w:val="007912BF"/>
    <w:rsid w:val="00792EF3"/>
    <w:rsid w:val="007A11EA"/>
    <w:rsid w:val="007A334A"/>
    <w:rsid w:val="007A42BC"/>
    <w:rsid w:val="007A583B"/>
    <w:rsid w:val="007A65FB"/>
    <w:rsid w:val="007B492E"/>
    <w:rsid w:val="007B66EF"/>
    <w:rsid w:val="007C190D"/>
    <w:rsid w:val="007C4258"/>
    <w:rsid w:val="007D548E"/>
    <w:rsid w:val="007E2E21"/>
    <w:rsid w:val="008126F2"/>
    <w:rsid w:val="00815766"/>
    <w:rsid w:val="00817850"/>
    <w:rsid w:val="008201D6"/>
    <w:rsid w:val="008313EF"/>
    <w:rsid w:val="00841A40"/>
    <w:rsid w:val="00847EFB"/>
    <w:rsid w:val="00862586"/>
    <w:rsid w:val="008652DB"/>
    <w:rsid w:val="0087195C"/>
    <w:rsid w:val="00872F27"/>
    <w:rsid w:val="00873AE2"/>
    <w:rsid w:val="008811C3"/>
    <w:rsid w:val="00885475"/>
    <w:rsid w:val="008857E5"/>
    <w:rsid w:val="00885AF0"/>
    <w:rsid w:val="00892984"/>
    <w:rsid w:val="0089561F"/>
    <w:rsid w:val="008A3C19"/>
    <w:rsid w:val="008D6691"/>
    <w:rsid w:val="008D66FC"/>
    <w:rsid w:val="008E209A"/>
    <w:rsid w:val="00916706"/>
    <w:rsid w:val="009209D7"/>
    <w:rsid w:val="009300F8"/>
    <w:rsid w:val="00951595"/>
    <w:rsid w:val="00953E89"/>
    <w:rsid w:val="00954306"/>
    <w:rsid w:val="00957A18"/>
    <w:rsid w:val="00960CD3"/>
    <w:rsid w:val="00967C48"/>
    <w:rsid w:val="009820E1"/>
    <w:rsid w:val="0098315F"/>
    <w:rsid w:val="00985184"/>
    <w:rsid w:val="00987830"/>
    <w:rsid w:val="009951D5"/>
    <w:rsid w:val="009B25F0"/>
    <w:rsid w:val="009B6A9F"/>
    <w:rsid w:val="009C0F1A"/>
    <w:rsid w:val="009C529E"/>
    <w:rsid w:val="009D0242"/>
    <w:rsid w:val="009D5E1E"/>
    <w:rsid w:val="009F4C1D"/>
    <w:rsid w:val="00A02299"/>
    <w:rsid w:val="00A078AB"/>
    <w:rsid w:val="00A1320F"/>
    <w:rsid w:val="00A20EF9"/>
    <w:rsid w:val="00A3619E"/>
    <w:rsid w:val="00A40833"/>
    <w:rsid w:val="00A463DF"/>
    <w:rsid w:val="00A82EB6"/>
    <w:rsid w:val="00A84377"/>
    <w:rsid w:val="00A858DE"/>
    <w:rsid w:val="00AA0E0F"/>
    <w:rsid w:val="00AA3DF5"/>
    <w:rsid w:val="00AA574E"/>
    <w:rsid w:val="00AA64B2"/>
    <w:rsid w:val="00AA7D7C"/>
    <w:rsid w:val="00AB2649"/>
    <w:rsid w:val="00AB31B9"/>
    <w:rsid w:val="00AB7994"/>
    <w:rsid w:val="00AC178F"/>
    <w:rsid w:val="00AC618C"/>
    <w:rsid w:val="00AC7301"/>
    <w:rsid w:val="00AC77C7"/>
    <w:rsid w:val="00AD6F71"/>
    <w:rsid w:val="00AE57E5"/>
    <w:rsid w:val="00AF14D9"/>
    <w:rsid w:val="00B0396C"/>
    <w:rsid w:val="00B16DF3"/>
    <w:rsid w:val="00B210AF"/>
    <w:rsid w:val="00B2256F"/>
    <w:rsid w:val="00B257FC"/>
    <w:rsid w:val="00B337FE"/>
    <w:rsid w:val="00B37FE1"/>
    <w:rsid w:val="00B61B3F"/>
    <w:rsid w:val="00B67DAD"/>
    <w:rsid w:val="00B72DD5"/>
    <w:rsid w:val="00B92598"/>
    <w:rsid w:val="00BA63FD"/>
    <w:rsid w:val="00BB0D4A"/>
    <w:rsid w:val="00BB6914"/>
    <w:rsid w:val="00BB7DB0"/>
    <w:rsid w:val="00BC2A10"/>
    <w:rsid w:val="00BD2C99"/>
    <w:rsid w:val="00BD497F"/>
    <w:rsid w:val="00BD744B"/>
    <w:rsid w:val="00C12AB2"/>
    <w:rsid w:val="00C1607F"/>
    <w:rsid w:val="00C216AA"/>
    <w:rsid w:val="00C5304C"/>
    <w:rsid w:val="00C65349"/>
    <w:rsid w:val="00C8617E"/>
    <w:rsid w:val="00C872DD"/>
    <w:rsid w:val="00C95B57"/>
    <w:rsid w:val="00CA3905"/>
    <w:rsid w:val="00CB2224"/>
    <w:rsid w:val="00CD1534"/>
    <w:rsid w:val="00CF57EE"/>
    <w:rsid w:val="00CF7E73"/>
    <w:rsid w:val="00D00DA0"/>
    <w:rsid w:val="00D03D5B"/>
    <w:rsid w:val="00D14275"/>
    <w:rsid w:val="00D25F53"/>
    <w:rsid w:val="00D27D24"/>
    <w:rsid w:val="00D32042"/>
    <w:rsid w:val="00D325AA"/>
    <w:rsid w:val="00D34C32"/>
    <w:rsid w:val="00D377C4"/>
    <w:rsid w:val="00D402EE"/>
    <w:rsid w:val="00D473C6"/>
    <w:rsid w:val="00D555E3"/>
    <w:rsid w:val="00D7181B"/>
    <w:rsid w:val="00D730CD"/>
    <w:rsid w:val="00D87997"/>
    <w:rsid w:val="00D91CE2"/>
    <w:rsid w:val="00DA1BB8"/>
    <w:rsid w:val="00DB1988"/>
    <w:rsid w:val="00DB484B"/>
    <w:rsid w:val="00DC2F01"/>
    <w:rsid w:val="00DC4D60"/>
    <w:rsid w:val="00DC6681"/>
    <w:rsid w:val="00DD1C5B"/>
    <w:rsid w:val="00DD54FA"/>
    <w:rsid w:val="00DE4359"/>
    <w:rsid w:val="00DE48E6"/>
    <w:rsid w:val="00DF0307"/>
    <w:rsid w:val="00DF4037"/>
    <w:rsid w:val="00E00500"/>
    <w:rsid w:val="00E07308"/>
    <w:rsid w:val="00E07D79"/>
    <w:rsid w:val="00E1056E"/>
    <w:rsid w:val="00E16683"/>
    <w:rsid w:val="00E1784C"/>
    <w:rsid w:val="00E2125F"/>
    <w:rsid w:val="00E3263F"/>
    <w:rsid w:val="00E50D80"/>
    <w:rsid w:val="00E5783F"/>
    <w:rsid w:val="00E579BC"/>
    <w:rsid w:val="00E60D9C"/>
    <w:rsid w:val="00E71299"/>
    <w:rsid w:val="00E7360E"/>
    <w:rsid w:val="00E95A2A"/>
    <w:rsid w:val="00EA03F4"/>
    <w:rsid w:val="00EA75FC"/>
    <w:rsid w:val="00EB0D3A"/>
    <w:rsid w:val="00EC20ED"/>
    <w:rsid w:val="00EF00FB"/>
    <w:rsid w:val="00EF0DAB"/>
    <w:rsid w:val="00EF7EC5"/>
    <w:rsid w:val="00F0734A"/>
    <w:rsid w:val="00F151E0"/>
    <w:rsid w:val="00F155A3"/>
    <w:rsid w:val="00F222CE"/>
    <w:rsid w:val="00F26627"/>
    <w:rsid w:val="00F32B68"/>
    <w:rsid w:val="00F67AF7"/>
    <w:rsid w:val="00F71723"/>
    <w:rsid w:val="00F76EDB"/>
    <w:rsid w:val="00F92F9F"/>
    <w:rsid w:val="00FA1203"/>
    <w:rsid w:val="00FA797F"/>
    <w:rsid w:val="00FA79DB"/>
    <w:rsid w:val="00FC4FCD"/>
    <w:rsid w:val="00FD18FC"/>
    <w:rsid w:val="00FD3A09"/>
    <w:rsid w:val="00FE1E89"/>
    <w:rsid w:val="00FF7409"/>
    <w:rsid w:val="01503135"/>
    <w:rsid w:val="02836F16"/>
    <w:rsid w:val="04821E71"/>
    <w:rsid w:val="071F6635"/>
    <w:rsid w:val="09E16AAF"/>
    <w:rsid w:val="09F94156"/>
    <w:rsid w:val="0B3A06C5"/>
    <w:rsid w:val="0B5D5F33"/>
    <w:rsid w:val="0D792800"/>
    <w:rsid w:val="10BF0806"/>
    <w:rsid w:val="12243386"/>
    <w:rsid w:val="16F42807"/>
    <w:rsid w:val="17591B2A"/>
    <w:rsid w:val="178C79B6"/>
    <w:rsid w:val="18A437B3"/>
    <w:rsid w:val="1A626880"/>
    <w:rsid w:val="1A7225B9"/>
    <w:rsid w:val="1D712816"/>
    <w:rsid w:val="1DDE758A"/>
    <w:rsid w:val="20B16728"/>
    <w:rsid w:val="2460328D"/>
    <w:rsid w:val="26545E91"/>
    <w:rsid w:val="2DFD01F3"/>
    <w:rsid w:val="2FF342CF"/>
    <w:rsid w:val="36514711"/>
    <w:rsid w:val="386A0C9E"/>
    <w:rsid w:val="3894064B"/>
    <w:rsid w:val="3EF96DAB"/>
    <w:rsid w:val="420E0BEC"/>
    <w:rsid w:val="48532527"/>
    <w:rsid w:val="49CA64A3"/>
    <w:rsid w:val="4A762AD7"/>
    <w:rsid w:val="4ADE614C"/>
    <w:rsid w:val="4B375BB5"/>
    <w:rsid w:val="4E5C4CB1"/>
    <w:rsid w:val="4EAF2405"/>
    <w:rsid w:val="4FA63CB9"/>
    <w:rsid w:val="515B148E"/>
    <w:rsid w:val="54BE7766"/>
    <w:rsid w:val="57F9479B"/>
    <w:rsid w:val="599D57E1"/>
    <w:rsid w:val="59AA2CE0"/>
    <w:rsid w:val="5BAF1FD9"/>
    <w:rsid w:val="5D5F35FA"/>
    <w:rsid w:val="631221F9"/>
    <w:rsid w:val="63412B99"/>
    <w:rsid w:val="63BA0439"/>
    <w:rsid w:val="643821B7"/>
    <w:rsid w:val="656B6618"/>
    <w:rsid w:val="6D7F7EBF"/>
    <w:rsid w:val="6DC27F0A"/>
    <w:rsid w:val="6F4A25D8"/>
    <w:rsid w:val="6FAD3E7D"/>
    <w:rsid w:val="71407795"/>
    <w:rsid w:val="716E4185"/>
    <w:rsid w:val="778A4D2B"/>
    <w:rsid w:val="7B1F5AFF"/>
    <w:rsid w:val="7CB77493"/>
    <w:rsid w:val="7E240B01"/>
    <w:rsid w:val="7FE4821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2"/>
    <w:unhideWhenUsed/>
    <w:qFormat/>
    <w:uiPriority w:val="99"/>
    <w:pPr>
      <w:ind w:left="100" w:leftChars="2500"/>
    </w:pPr>
  </w:style>
  <w:style w:type="paragraph" w:styleId="3">
    <w:name w:val="Balloon Text"/>
    <w:basedOn w:val="1"/>
    <w:link w:val="10"/>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character" w:styleId="9">
    <w:name w:val="Strong"/>
    <w:qFormat/>
    <w:uiPriority w:val="0"/>
    <w:rPr>
      <w:b/>
    </w:rPr>
  </w:style>
  <w:style w:type="character" w:customStyle="1" w:styleId="10">
    <w:name w:val="批注框文本 Char"/>
    <w:link w:val="3"/>
    <w:semiHidden/>
    <w:qFormat/>
    <w:uiPriority w:val="99"/>
    <w:rPr>
      <w:kern w:val="2"/>
      <w:sz w:val="18"/>
      <w:szCs w:val="18"/>
    </w:rPr>
  </w:style>
  <w:style w:type="character" w:customStyle="1" w:styleId="11">
    <w:name w:val="页眉 Char"/>
    <w:link w:val="5"/>
    <w:qFormat/>
    <w:uiPriority w:val="99"/>
    <w:rPr>
      <w:kern w:val="2"/>
      <w:sz w:val="18"/>
      <w:szCs w:val="18"/>
    </w:rPr>
  </w:style>
  <w:style w:type="character" w:customStyle="1" w:styleId="12">
    <w:name w:val="日期 Char"/>
    <w:link w:val="2"/>
    <w:semiHidden/>
    <w:qFormat/>
    <w:uiPriority w:val="99"/>
    <w:rPr>
      <w:kern w:val="2"/>
      <w:sz w:val="21"/>
      <w:szCs w:val="22"/>
    </w:rPr>
  </w:style>
  <w:style w:type="character" w:customStyle="1" w:styleId="13">
    <w:name w:val="15"/>
    <w:qFormat/>
    <w:uiPriority w:val="0"/>
  </w:style>
  <w:style w:type="character" w:customStyle="1" w:styleId="14">
    <w:name w:val="页脚 Char"/>
    <w:link w:val="4"/>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14</Pages>
  <Words>894</Words>
  <Characters>5096</Characters>
  <Lines>42</Lines>
  <Paragraphs>11</Paragraphs>
  <TotalTime>1</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2017-05-15T11:06:00Z</dcterms:created>
  <dc:creator>Administrator</dc:creator>
  <cp:lastModifiedBy>薛文成</cp:lastModifiedBy>
  <cp:lastPrinted>2017-07-19T15:46:00Z</cp:lastPrinted>
  <dcterms:modified xsi:type="dcterms:W3CDTF">2021-08-27T10:26:50Z</dcterms:modified>
  <dc:title>吴堡县人民政府</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