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F0" w:rsidRDefault="00B06AF0">
      <w:pPr>
        <w:jc w:val="center"/>
        <w:rPr>
          <w:rFonts w:asciiTheme="majorEastAsia" w:eastAsiaTheme="majorEastAsia" w:hAnsiTheme="majorEastAsia" w:cstheme="majorEastAsia" w:hint="eastAsia"/>
          <w:sz w:val="44"/>
          <w:szCs w:val="44"/>
        </w:rPr>
      </w:pPr>
    </w:p>
    <w:p w:rsidR="00B06AF0" w:rsidRDefault="00B06AF0">
      <w:pPr>
        <w:jc w:val="center"/>
        <w:rPr>
          <w:rFonts w:asciiTheme="majorEastAsia" w:eastAsiaTheme="majorEastAsia" w:hAnsiTheme="majorEastAsia" w:cstheme="majorEastAsia" w:hint="eastAsia"/>
          <w:sz w:val="44"/>
          <w:szCs w:val="44"/>
        </w:rPr>
      </w:pPr>
    </w:p>
    <w:p w:rsidR="00B06AF0" w:rsidRDefault="00B06AF0">
      <w:pPr>
        <w:jc w:val="center"/>
        <w:rPr>
          <w:rFonts w:asciiTheme="majorEastAsia" w:eastAsiaTheme="majorEastAsia" w:hAnsiTheme="majorEastAsia" w:cstheme="majorEastAsia" w:hint="eastAsia"/>
          <w:sz w:val="44"/>
          <w:szCs w:val="44"/>
        </w:rPr>
      </w:pPr>
    </w:p>
    <w:p w:rsidR="00B06AF0" w:rsidRDefault="00B06AF0">
      <w:pPr>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jc w:val="center"/>
        <w:rPr>
          <w:rFonts w:asciiTheme="majorEastAsia" w:eastAsiaTheme="majorEastAsia" w:hAnsiTheme="majorEastAsia" w:cstheme="majorEastAsia" w:hint="eastAsia"/>
          <w:sz w:val="44"/>
          <w:szCs w:val="44"/>
        </w:rPr>
      </w:pPr>
    </w:p>
    <w:p w:rsidR="00B06AF0" w:rsidRDefault="00B06AF0" w:rsidP="00B06AF0">
      <w:pPr>
        <w:spacing w:line="140" w:lineRule="exact"/>
        <w:jc w:val="center"/>
        <w:rPr>
          <w:rFonts w:asciiTheme="majorEastAsia" w:eastAsiaTheme="majorEastAsia" w:hAnsiTheme="majorEastAsia" w:cstheme="majorEastAsia" w:hint="eastAsia"/>
          <w:sz w:val="44"/>
          <w:szCs w:val="44"/>
        </w:rPr>
      </w:pPr>
    </w:p>
    <w:p w:rsidR="00B06AF0" w:rsidRDefault="00B06AF0" w:rsidP="00B06AF0">
      <w:pPr>
        <w:spacing w:line="140" w:lineRule="exact"/>
        <w:jc w:val="center"/>
        <w:rPr>
          <w:rFonts w:asciiTheme="majorEastAsia" w:eastAsiaTheme="majorEastAsia" w:hAnsiTheme="majorEastAsia" w:cstheme="majorEastAsia" w:hint="eastAsia"/>
          <w:sz w:val="44"/>
          <w:szCs w:val="44"/>
        </w:rPr>
      </w:pPr>
    </w:p>
    <w:p w:rsidR="00B06AF0" w:rsidRDefault="00B06AF0" w:rsidP="00B06AF0">
      <w:pPr>
        <w:spacing w:line="140" w:lineRule="exact"/>
        <w:jc w:val="center"/>
        <w:rPr>
          <w:rFonts w:asciiTheme="majorEastAsia" w:eastAsiaTheme="majorEastAsia" w:hAnsiTheme="majorEastAsia" w:cstheme="majorEastAsia" w:hint="eastAsia"/>
          <w:sz w:val="44"/>
          <w:szCs w:val="44"/>
        </w:rPr>
      </w:pPr>
    </w:p>
    <w:p w:rsidR="00B06AF0" w:rsidRDefault="00B06AF0" w:rsidP="00B06AF0">
      <w:pPr>
        <w:spacing w:line="160" w:lineRule="exact"/>
        <w:rPr>
          <w:rFonts w:asciiTheme="majorEastAsia" w:eastAsiaTheme="majorEastAsia" w:hAnsiTheme="majorEastAsia" w:cstheme="majorEastAsia" w:hint="eastAsia"/>
          <w:sz w:val="44"/>
          <w:szCs w:val="44"/>
        </w:rPr>
      </w:pPr>
    </w:p>
    <w:p w:rsidR="00B06AF0" w:rsidRPr="00B06AF0" w:rsidRDefault="00B06AF0">
      <w:pPr>
        <w:jc w:val="center"/>
        <w:rPr>
          <w:rFonts w:ascii="仿宋" w:eastAsia="仿宋" w:hAnsi="仿宋" w:cstheme="majorEastAsia" w:hint="eastAsia"/>
          <w:sz w:val="32"/>
          <w:szCs w:val="32"/>
        </w:rPr>
      </w:pPr>
      <w:r w:rsidRPr="00B06AF0">
        <w:rPr>
          <w:rFonts w:ascii="仿宋" w:eastAsia="仿宋" w:hAnsi="仿宋" w:cstheme="majorEastAsia" w:hint="eastAsia"/>
          <w:sz w:val="32"/>
          <w:szCs w:val="32"/>
        </w:rPr>
        <w:t>吴政财发[2018]570号</w:t>
      </w:r>
    </w:p>
    <w:p w:rsidR="00B06AF0" w:rsidRPr="00B06AF0" w:rsidRDefault="00B06AF0">
      <w:pPr>
        <w:jc w:val="center"/>
        <w:rPr>
          <w:rFonts w:ascii="仿宋" w:eastAsia="仿宋" w:hAnsi="仿宋" w:cstheme="majorEastAsia" w:hint="eastAsia"/>
          <w:sz w:val="32"/>
          <w:szCs w:val="32"/>
        </w:rPr>
      </w:pPr>
    </w:p>
    <w:p w:rsidR="00177423" w:rsidRDefault="00AC48E4">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关于下达</w:t>
      </w:r>
      <w:r>
        <w:rPr>
          <w:rFonts w:asciiTheme="majorEastAsia" w:eastAsiaTheme="majorEastAsia" w:hAnsiTheme="majorEastAsia" w:cstheme="majorEastAsia" w:hint="eastAsia"/>
          <w:sz w:val="44"/>
          <w:szCs w:val="44"/>
        </w:rPr>
        <w:t>2018</w:t>
      </w:r>
      <w:r>
        <w:rPr>
          <w:rFonts w:asciiTheme="majorEastAsia" w:eastAsiaTheme="majorEastAsia" w:hAnsiTheme="majorEastAsia" w:cstheme="majorEastAsia" w:hint="eastAsia"/>
          <w:sz w:val="44"/>
          <w:szCs w:val="44"/>
        </w:rPr>
        <w:t>年国家集中连片特困地区</w:t>
      </w:r>
    </w:p>
    <w:p w:rsidR="00177423" w:rsidRDefault="00AC48E4">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农村义务教育学生营养改善计划</w:t>
      </w:r>
    </w:p>
    <w:p w:rsidR="00177423" w:rsidRDefault="00AC48E4">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补助资金的通知</w:t>
      </w:r>
    </w:p>
    <w:p w:rsidR="00177423" w:rsidRDefault="00177423">
      <w:pPr>
        <w:jc w:val="center"/>
        <w:rPr>
          <w:rFonts w:asciiTheme="majorEastAsia" w:eastAsiaTheme="majorEastAsia" w:hAnsiTheme="majorEastAsia" w:cstheme="majorEastAsia"/>
          <w:sz w:val="44"/>
          <w:szCs w:val="44"/>
        </w:rPr>
      </w:pPr>
    </w:p>
    <w:p w:rsidR="00177423" w:rsidRDefault="00AC48E4">
      <w:pPr>
        <w:rPr>
          <w:rFonts w:ascii="仿宋" w:eastAsia="仿宋" w:hAnsi="仿宋" w:cs="仿宋"/>
          <w:sz w:val="32"/>
          <w:szCs w:val="32"/>
        </w:rPr>
      </w:pPr>
      <w:r>
        <w:rPr>
          <w:rFonts w:ascii="仿宋" w:eastAsia="仿宋" w:hAnsi="仿宋" w:cs="仿宋" w:hint="eastAsia"/>
          <w:sz w:val="32"/>
          <w:szCs w:val="32"/>
        </w:rPr>
        <w:t>县教育局：</w:t>
      </w:r>
    </w:p>
    <w:p w:rsidR="00177423" w:rsidRDefault="00AC48E4">
      <w:pPr>
        <w:ind w:firstLineChars="200" w:firstLine="640"/>
        <w:rPr>
          <w:rFonts w:ascii="仿宋" w:eastAsia="仿宋" w:hAnsi="仿宋" w:cs="仿宋"/>
          <w:sz w:val="32"/>
          <w:szCs w:val="32"/>
        </w:rPr>
      </w:pPr>
      <w:r>
        <w:rPr>
          <w:rFonts w:ascii="仿宋" w:eastAsia="仿宋" w:hAnsi="仿宋" w:cs="仿宋" w:hint="eastAsia"/>
          <w:sz w:val="32"/>
          <w:szCs w:val="32"/>
        </w:rPr>
        <w:t>根据市财政局、市教育局《关于下达</w:t>
      </w:r>
      <w:r>
        <w:rPr>
          <w:rFonts w:ascii="仿宋" w:eastAsia="仿宋" w:hAnsi="仿宋" w:cs="仿宋" w:hint="eastAsia"/>
          <w:sz w:val="32"/>
          <w:szCs w:val="32"/>
        </w:rPr>
        <w:t>2018</w:t>
      </w:r>
      <w:r>
        <w:rPr>
          <w:rFonts w:ascii="仿宋" w:eastAsia="仿宋" w:hAnsi="仿宋" w:cs="仿宋" w:hint="eastAsia"/>
          <w:sz w:val="32"/>
          <w:szCs w:val="32"/>
        </w:rPr>
        <w:t>年国家集中连片特困地区农村义务教育学生营养改善计划补助资金预算的通知》（榆</w:t>
      </w:r>
      <w:proofErr w:type="gramStart"/>
      <w:r>
        <w:rPr>
          <w:rFonts w:ascii="仿宋" w:eastAsia="仿宋" w:hAnsi="仿宋" w:cs="仿宋" w:hint="eastAsia"/>
          <w:sz w:val="32"/>
          <w:szCs w:val="32"/>
        </w:rPr>
        <w:t>政财教发</w:t>
      </w:r>
      <w:proofErr w:type="gramEnd"/>
      <w:r>
        <w:rPr>
          <w:rFonts w:ascii="仿宋" w:eastAsia="仿宋" w:hAnsi="仿宋" w:cs="仿宋" w:hint="eastAsia"/>
          <w:sz w:val="32"/>
          <w:szCs w:val="32"/>
        </w:rPr>
        <w:t>[2018]15</w:t>
      </w:r>
      <w:r>
        <w:rPr>
          <w:rFonts w:ascii="仿宋" w:eastAsia="仿宋" w:hAnsi="仿宋" w:cs="仿宋" w:hint="eastAsia"/>
          <w:sz w:val="32"/>
          <w:szCs w:val="32"/>
        </w:rPr>
        <w:t>号）文件精神，</w:t>
      </w:r>
      <w:proofErr w:type="gramStart"/>
      <w:r>
        <w:rPr>
          <w:rFonts w:ascii="仿宋" w:eastAsia="仿宋" w:hAnsi="仿宋" w:cs="仿宋" w:hint="eastAsia"/>
          <w:sz w:val="32"/>
          <w:szCs w:val="32"/>
        </w:rPr>
        <w:t>现下达</w:t>
      </w:r>
      <w:proofErr w:type="gramEnd"/>
      <w:r>
        <w:rPr>
          <w:rFonts w:ascii="仿宋" w:eastAsia="仿宋" w:hAnsi="仿宋" w:cs="仿宋" w:hint="eastAsia"/>
          <w:sz w:val="32"/>
          <w:szCs w:val="32"/>
        </w:rPr>
        <w:t>你单位</w:t>
      </w:r>
      <w:r>
        <w:rPr>
          <w:rFonts w:ascii="仿宋" w:eastAsia="仿宋" w:hAnsi="仿宋" w:cs="仿宋" w:hint="eastAsia"/>
          <w:sz w:val="32"/>
          <w:szCs w:val="32"/>
        </w:rPr>
        <w:t>2018</w:t>
      </w:r>
      <w:r>
        <w:rPr>
          <w:rFonts w:ascii="仿宋" w:eastAsia="仿宋" w:hAnsi="仿宋" w:cs="仿宋" w:hint="eastAsia"/>
          <w:sz w:val="32"/>
          <w:szCs w:val="32"/>
        </w:rPr>
        <w:t>年国家集中连片特困地区农村义务教育学生营养改善计划补助资金</w:t>
      </w:r>
      <w:r>
        <w:rPr>
          <w:rFonts w:ascii="仿宋" w:eastAsia="仿宋" w:hAnsi="仿宋" w:cs="仿宋" w:hint="eastAsia"/>
          <w:sz w:val="32"/>
          <w:szCs w:val="32"/>
        </w:rPr>
        <w:t>71</w:t>
      </w:r>
      <w:r>
        <w:rPr>
          <w:rFonts w:ascii="仿宋" w:eastAsia="仿宋" w:hAnsi="仿宋" w:cs="仿宋" w:hint="eastAsia"/>
          <w:sz w:val="32"/>
          <w:szCs w:val="32"/>
        </w:rPr>
        <w:t>万元（详见附件），年终列“</w:t>
      </w:r>
      <w:r>
        <w:rPr>
          <w:rFonts w:ascii="仿宋" w:eastAsia="仿宋" w:hAnsi="仿宋" w:cs="仿宋" w:hint="eastAsia"/>
          <w:sz w:val="32"/>
          <w:szCs w:val="32"/>
        </w:rPr>
        <w:t>2050299</w:t>
      </w:r>
      <w:r>
        <w:rPr>
          <w:rFonts w:ascii="仿宋" w:eastAsia="仿宋" w:hAnsi="仿宋" w:cs="仿宋" w:hint="eastAsia"/>
          <w:sz w:val="32"/>
          <w:szCs w:val="32"/>
        </w:rPr>
        <w:t>其他普通教育支出”功能分类科目。现将有关事项通知如下：</w:t>
      </w:r>
    </w:p>
    <w:p w:rsidR="00177423" w:rsidRDefault="00AC48E4">
      <w:pPr>
        <w:ind w:firstLineChars="200" w:firstLine="640"/>
        <w:rPr>
          <w:rFonts w:ascii="仿宋" w:eastAsia="仿宋" w:hAnsi="仿宋" w:cs="仿宋"/>
          <w:sz w:val="32"/>
          <w:szCs w:val="32"/>
        </w:rPr>
      </w:pPr>
      <w:r>
        <w:rPr>
          <w:rFonts w:ascii="仿宋" w:eastAsia="仿宋" w:hAnsi="仿宋" w:cs="仿宋" w:hint="eastAsia"/>
          <w:sz w:val="32"/>
          <w:szCs w:val="32"/>
        </w:rPr>
        <w:t>一、国家连片特困地区营养改善计划补助标准每生每天</w:t>
      </w:r>
      <w:r>
        <w:rPr>
          <w:rFonts w:ascii="仿宋" w:eastAsia="仿宋" w:hAnsi="仿宋" w:cs="仿宋" w:hint="eastAsia"/>
          <w:sz w:val="32"/>
          <w:szCs w:val="32"/>
        </w:rPr>
        <w:t>4</w:t>
      </w:r>
      <w:r w:rsidR="00B06AF0">
        <w:rPr>
          <w:rFonts w:ascii="仿宋" w:eastAsia="仿宋" w:hAnsi="仿宋" w:cs="仿宋" w:hint="eastAsia"/>
          <w:sz w:val="32"/>
          <w:szCs w:val="32"/>
        </w:rPr>
        <w:t>元，补助天数根据</w:t>
      </w:r>
      <w:r>
        <w:rPr>
          <w:rFonts w:ascii="仿宋" w:eastAsia="仿宋" w:hAnsi="仿宋" w:cs="仿宋" w:hint="eastAsia"/>
          <w:sz w:val="32"/>
          <w:szCs w:val="32"/>
        </w:rPr>
        <w:t xml:space="preserve"> </w:t>
      </w:r>
      <w:r>
        <w:rPr>
          <w:rFonts w:ascii="仿宋" w:eastAsia="仿宋" w:hAnsi="仿宋" w:cs="仿宋" w:hint="eastAsia"/>
          <w:sz w:val="32"/>
          <w:szCs w:val="32"/>
        </w:rPr>
        <w:t>学生实际在校平均天数确定。</w:t>
      </w:r>
    </w:p>
    <w:p w:rsidR="00177423" w:rsidRDefault="00AC48E4">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二、补助资金应足额用于为学生提供食品，不得直接发放给学生个人和家长，要按有关要求切实加强对农村义务教育学生营养改善工作的组织领导，从实际出发，多途径、多形式地开展学生营养改善计划工作。</w:t>
      </w:r>
    </w:p>
    <w:p w:rsidR="00177423" w:rsidRDefault="00AC48E4">
      <w:pPr>
        <w:ind w:firstLineChars="200" w:firstLine="640"/>
        <w:rPr>
          <w:rFonts w:ascii="仿宋" w:eastAsia="仿宋" w:hAnsi="仿宋" w:cs="仿宋"/>
          <w:sz w:val="32"/>
          <w:szCs w:val="32"/>
        </w:rPr>
      </w:pPr>
      <w:r>
        <w:rPr>
          <w:rFonts w:ascii="仿宋" w:eastAsia="仿宋" w:hAnsi="仿宋" w:cs="仿宋" w:hint="eastAsia"/>
          <w:sz w:val="32"/>
          <w:szCs w:val="32"/>
        </w:rPr>
        <w:t>三、以前年度的结余资金要继续用于营养改善计划，严格按照规定的补助标准、实际学生数和发放天数核定补助资金，保障营养改善计划顺利实施，坚决杜绝虚报冒领补助资金的行为。有关学校要进一步加强财务管理，定期全面公开经费账目，确保资金</w:t>
      </w:r>
      <w:r>
        <w:rPr>
          <w:rFonts w:ascii="仿宋" w:eastAsia="仿宋" w:hAnsi="仿宋" w:cs="仿宋" w:hint="eastAsia"/>
          <w:sz w:val="32"/>
          <w:szCs w:val="32"/>
        </w:rPr>
        <w:t>使用安全、规范和有效。</w:t>
      </w:r>
    </w:p>
    <w:p w:rsidR="00177423" w:rsidRDefault="00AC48E4">
      <w:pPr>
        <w:ind w:firstLineChars="200" w:firstLine="640"/>
        <w:rPr>
          <w:rFonts w:ascii="仿宋" w:eastAsia="仿宋" w:hAnsi="仿宋" w:cs="仿宋"/>
          <w:sz w:val="32"/>
          <w:szCs w:val="32"/>
        </w:rPr>
      </w:pPr>
      <w:r>
        <w:rPr>
          <w:rFonts w:ascii="仿宋" w:eastAsia="仿宋" w:hAnsi="仿宋" w:cs="仿宋" w:hint="eastAsia"/>
          <w:sz w:val="32"/>
          <w:szCs w:val="32"/>
        </w:rPr>
        <w:t>四、要加强监督检查，将学生营养改善计划资金管理使用情况列入重点监督范围，及时将工作进展、运行结果向社会公示。</w:t>
      </w:r>
    </w:p>
    <w:p w:rsidR="00177423" w:rsidRDefault="00177423">
      <w:pPr>
        <w:ind w:firstLineChars="200" w:firstLine="640"/>
        <w:rPr>
          <w:rFonts w:ascii="仿宋" w:eastAsia="仿宋" w:hAnsi="仿宋" w:cs="仿宋"/>
          <w:sz w:val="32"/>
          <w:szCs w:val="32"/>
        </w:rPr>
      </w:pPr>
    </w:p>
    <w:p w:rsidR="00177423" w:rsidRDefault="00AC48E4">
      <w:pPr>
        <w:ind w:leftChars="304" w:left="1598" w:hangingChars="300" w:hanging="96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2018</w:t>
      </w:r>
      <w:r>
        <w:rPr>
          <w:rFonts w:ascii="仿宋" w:eastAsia="仿宋" w:hAnsi="仿宋" w:cs="仿宋" w:hint="eastAsia"/>
          <w:sz w:val="32"/>
          <w:szCs w:val="32"/>
        </w:rPr>
        <w:t>年国家集中连片特困地区农村义务教育学生营养改善计划补助资金分配表</w:t>
      </w:r>
    </w:p>
    <w:p w:rsidR="00177423" w:rsidRDefault="00177423">
      <w:pPr>
        <w:ind w:firstLineChars="200" w:firstLine="640"/>
        <w:rPr>
          <w:rFonts w:ascii="仿宋" w:eastAsia="仿宋" w:hAnsi="仿宋" w:cs="仿宋"/>
          <w:sz w:val="32"/>
          <w:szCs w:val="32"/>
        </w:rPr>
      </w:pPr>
    </w:p>
    <w:p w:rsidR="00177423" w:rsidRDefault="00177423">
      <w:pPr>
        <w:ind w:firstLineChars="200" w:firstLine="640"/>
        <w:rPr>
          <w:rFonts w:ascii="仿宋" w:eastAsia="仿宋" w:hAnsi="仿宋" w:cs="仿宋"/>
          <w:sz w:val="32"/>
          <w:szCs w:val="32"/>
        </w:rPr>
      </w:pPr>
    </w:p>
    <w:p w:rsidR="00177423" w:rsidRDefault="00177423">
      <w:pPr>
        <w:ind w:firstLineChars="200" w:firstLine="640"/>
        <w:rPr>
          <w:rFonts w:ascii="仿宋" w:eastAsia="仿宋" w:hAnsi="仿宋" w:cs="仿宋"/>
          <w:sz w:val="32"/>
          <w:szCs w:val="32"/>
        </w:rPr>
      </w:pPr>
    </w:p>
    <w:p w:rsidR="00177423" w:rsidRDefault="00AC48E4">
      <w:pPr>
        <w:ind w:firstLineChars="200" w:firstLine="640"/>
        <w:rPr>
          <w:rFonts w:ascii="仿宋" w:eastAsia="仿宋" w:hAnsi="仿宋" w:cs="仿宋"/>
          <w:sz w:val="32"/>
          <w:szCs w:val="32"/>
        </w:rPr>
      </w:pPr>
      <w:r>
        <w:rPr>
          <w:rFonts w:ascii="仿宋" w:eastAsia="仿宋" w:hAnsi="仿宋" w:cs="仿宋" w:hint="eastAsia"/>
          <w:sz w:val="32"/>
          <w:szCs w:val="32"/>
        </w:rPr>
        <w:t xml:space="preserve">                        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w:t>
      </w:r>
      <w:bookmarkStart w:id="0" w:name="_GoBack"/>
      <w:bookmarkEnd w:id="0"/>
      <w:r>
        <w:rPr>
          <w:rFonts w:ascii="仿宋" w:eastAsia="仿宋" w:hAnsi="仿宋" w:cs="仿宋" w:hint="eastAsia"/>
          <w:sz w:val="32"/>
          <w:szCs w:val="32"/>
        </w:rPr>
        <w:t>日</w:t>
      </w:r>
    </w:p>
    <w:p w:rsidR="00177423" w:rsidRDefault="00177423">
      <w:pPr>
        <w:ind w:firstLine="420"/>
        <w:rPr>
          <w:rFonts w:ascii="仿宋" w:eastAsia="仿宋" w:hAnsi="仿宋" w:cs="仿宋"/>
          <w:sz w:val="32"/>
          <w:szCs w:val="32"/>
        </w:rPr>
      </w:pPr>
    </w:p>
    <w:p w:rsidR="00177423" w:rsidRDefault="00177423">
      <w:pPr>
        <w:ind w:firstLine="420"/>
        <w:rPr>
          <w:rFonts w:ascii="仿宋" w:eastAsia="仿宋" w:hAnsi="仿宋" w:cs="仿宋"/>
          <w:sz w:val="32"/>
          <w:szCs w:val="32"/>
        </w:rPr>
      </w:pPr>
    </w:p>
    <w:p w:rsidR="00177423" w:rsidRDefault="00177423">
      <w:pPr>
        <w:ind w:firstLine="420"/>
        <w:rPr>
          <w:rFonts w:ascii="仿宋" w:eastAsia="仿宋" w:hAnsi="仿宋" w:cs="仿宋"/>
          <w:sz w:val="32"/>
          <w:szCs w:val="32"/>
        </w:rPr>
      </w:pPr>
    </w:p>
    <w:p w:rsidR="00177423" w:rsidRDefault="00AC48E4" w:rsidP="00B06AF0">
      <w:pPr>
        <w:rPr>
          <w:rFonts w:ascii="黑体" w:eastAsia="黑体" w:hAnsi="黑体" w:cs="黑体"/>
          <w:sz w:val="32"/>
          <w:szCs w:val="32"/>
        </w:rPr>
      </w:pPr>
      <w:r>
        <w:rPr>
          <w:rFonts w:ascii="黑体" w:eastAsia="黑体" w:hAnsi="黑体" w:cs="黑体" w:hint="eastAsia"/>
          <w:sz w:val="32"/>
          <w:szCs w:val="32"/>
        </w:rPr>
        <w:lastRenderedPageBreak/>
        <w:t>附件：</w:t>
      </w:r>
    </w:p>
    <w:p w:rsidR="00177423" w:rsidRDefault="00177423">
      <w:pPr>
        <w:ind w:firstLineChars="200" w:firstLine="640"/>
        <w:jc w:val="center"/>
        <w:rPr>
          <w:rFonts w:ascii="仿宋" w:eastAsia="仿宋" w:hAnsi="仿宋" w:cs="仿宋"/>
          <w:sz w:val="32"/>
          <w:szCs w:val="32"/>
        </w:rPr>
      </w:pPr>
    </w:p>
    <w:p w:rsidR="00177423" w:rsidRDefault="00AC48E4">
      <w:pPr>
        <w:ind w:firstLineChars="200" w:firstLine="640"/>
        <w:jc w:val="center"/>
        <w:rPr>
          <w:rFonts w:ascii="黑体" w:eastAsia="黑体" w:hAnsi="黑体" w:cs="黑体"/>
          <w:sz w:val="32"/>
          <w:szCs w:val="32"/>
        </w:rPr>
      </w:pPr>
      <w:r>
        <w:rPr>
          <w:rFonts w:ascii="黑体" w:eastAsia="黑体" w:hAnsi="黑体" w:cs="黑体" w:hint="eastAsia"/>
          <w:sz w:val="32"/>
          <w:szCs w:val="32"/>
        </w:rPr>
        <w:t>2018</w:t>
      </w:r>
      <w:r>
        <w:rPr>
          <w:rFonts w:ascii="黑体" w:eastAsia="黑体" w:hAnsi="黑体" w:cs="黑体" w:hint="eastAsia"/>
          <w:sz w:val="32"/>
          <w:szCs w:val="32"/>
        </w:rPr>
        <w:t>年国家集中连片特困地区农村义务教育学生营养改善计划补助资金分配表</w:t>
      </w:r>
    </w:p>
    <w:p w:rsidR="00177423" w:rsidRDefault="00AC48E4">
      <w:pPr>
        <w:ind w:firstLineChars="200" w:firstLine="420"/>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单位：万元</w:t>
      </w:r>
    </w:p>
    <w:tbl>
      <w:tblPr>
        <w:tblStyle w:val="a3"/>
        <w:tblW w:w="8235" w:type="dxa"/>
        <w:tblInd w:w="287" w:type="dxa"/>
        <w:tblLayout w:type="fixed"/>
        <w:tblLook w:val="04A0"/>
      </w:tblPr>
      <w:tblGrid>
        <w:gridCol w:w="2820"/>
        <w:gridCol w:w="2895"/>
        <w:gridCol w:w="2520"/>
      </w:tblGrid>
      <w:tr w:rsidR="00177423">
        <w:trPr>
          <w:trHeight w:val="682"/>
        </w:trPr>
        <w:tc>
          <w:tcPr>
            <w:tcW w:w="2820" w:type="dxa"/>
            <w:vAlign w:val="center"/>
          </w:tcPr>
          <w:p w:rsidR="00177423" w:rsidRDefault="00AC48E4">
            <w:pPr>
              <w:jc w:val="center"/>
              <w:rPr>
                <w:rFonts w:asciiTheme="minorEastAsia" w:hAnsiTheme="minorEastAsia" w:cstheme="minorEastAsia"/>
                <w:sz w:val="24"/>
              </w:rPr>
            </w:pPr>
            <w:r>
              <w:rPr>
                <w:rFonts w:asciiTheme="minorEastAsia" w:hAnsiTheme="minorEastAsia" w:cstheme="minorEastAsia" w:hint="eastAsia"/>
                <w:sz w:val="24"/>
              </w:rPr>
              <w:t>单位名称</w:t>
            </w:r>
          </w:p>
        </w:tc>
        <w:tc>
          <w:tcPr>
            <w:tcW w:w="2895" w:type="dxa"/>
            <w:vAlign w:val="center"/>
          </w:tcPr>
          <w:p w:rsidR="00177423" w:rsidRDefault="00AC48E4">
            <w:pPr>
              <w:jc w:val="center"/>
              <w:rPr>
                <w:rFonts w:asciiTheme="minorEastAsia" w:hAnsiTheme="minorEastAsia" w:cstheme="minorEastAsia"/>
                <w:sz w:val="24"/>
              </w:rPr>
            </w:pPr>
            <w:r>
              <w:rPr>
                <w:rFonts w:asciiTheme="minorEastAsia" w:hAnsiTheme="minorEastAsia" w:cstheme="minorEastAsia" w:hint="eastAsia"/>
                <w:sz w:val="24"/>
              </w:rPr>
              <w:t>补助金额</w:t>
            </w:r>
          </w:p>
        </w:tc>
        <w:tc>
          <w:tcPr>
            <w:tcW w:w="2520" w:type="dxa"/>
            <w:vAlign w:val="center"/>
          </w:tcPr>
          <w:p w:rsidR="00177423" w:rsidRDefault="00AC48E4">
            <w:pPr>
              <w:jc w:val="center"/>
              <w:rPr>
                <w:rFonts w:asciiTheme="minorEastAsia" w:hAnsiTheme="minorEastAsia" w:cstheme="minorEastAsia"/>
                <w:sz w:val="24"/>
              </w:rPr>
            </w:pPr>
            <w:r>
              <w:rPr>
                <w:rFonts w:asciiTheme="minorEastAsia" w:hAnsiTheme="minorEastAsia" w:cstheme="minorEastAsia" w:hint="eastAsia"/>
                <w:sz w:val="24"/>
              </w:rPr>
              <w:t>备注</w:t>
            </w:r>
          </w:p>
        </w:tc>
      </w:tr>
      <w:tr w:rsidR="00177423">
        <w:trPr>
          <w:trHeight w:val="657"/>
        </w:trPr>
        <w:tc>
          <w:tcPr>
            <w:tcW w:w="2820" w:type="dxa"/>
            <w:vAlign w:val="center"/>
          </w:tcPr>
          <w:p w:rsidR="00177423" w:rsidRDefault="00AC48E4">
            <w:pPr>
              <w:jc w:val="center"/>
              <w:rPr>
                <w:rFonts w:asciiTheme="minorEastAsia" w:hAnsiTheme="minorEastAsia" w:cstheme="minorEastAsia"/>
                <w:sz w:val="28"/>
                <w:szCs w:val="28"/>
              </w:rPr>
            </w:pPr>
            <w:r>
              <w:rPr>
                <w:rFonts w:asciiTheme="minorEastAsia" w:hAnsiTheme="minorEastAsia" w:cstheme="minorEastAsia" w:hint="eastAsia"/>
                <w:sz w:val="24"/>
              </w:rPr>
              <w:t>教育局</w:t>
            </w:r>
          </w:p>
        </w:tc>
        <w:tc>
          <w:tcPr>
            <w:tcW w:w="2895" w:type="dxa"/>
            <w:vAlign w:val="center"/>
          </w:tcPr>
          <w:p w:rsidR="00177423" w:rsidRDefault="00AC48E4">
            <w:pPr>
              <w:jc w:val="center"/>
              <w:rPr>
                <w:rFonts w:asciiTheme="minorEastAsia" w:hAnsiTheme="minorEastAsia" w:cstheme="minorEastAsia"/>
                <w:sz w:val="24"/>
              </w:rPr>
            </w:pPr>
            <w:r>
              <w:rPr>
                <w:rFonts w:asciiTheme="minorEastAsia" w:hAnsiTheme="minorEastAsia" w:cstheme="minorEastAsia" w:hint="eastAsia"/>
                <w:sz w:val="24"/>
              </w:rPr>
              <w:t>71</w:t>
            </w:r>
          </w:p>
        </w:tc>
        <w:tc>
          <w:tcPr>
            <w:tcW w:w="2520" w:type="dxa"/>
          </w:tcPr>
          <w:p w:rsidR="00177423" w:rsidRDefault="00177423">
            <w:pPr>
              <w:jc w:val="center"/>
              <w:rPr>
                <w:rFonts w:asciiTheme="minorEastAsia" w:hAnsiTheme="minorEastAsia" w:cstheme="minorEastAsia"/>
                <w:sz w:val="24"/>
              </w:rPr>
            </w:pPr>
          </w:p>
        </w:tc>
      </w:tr>
    </w:tbl>
    <w:p w:rsidR="00177423" w:rsidRDefault="00177423">
      <w:pPr>
        <w:ind w:firstLineChars="200" w:firstLine="640"/>
        <w:jc w:val="center"/>
        <w:rPr>
          <w:rFonts w:ascii="黑体" w:eastAsia="黑体" w:hAnsi="黑体" w:cs="黑体"/>
          <w:sz w:val="32"/>
          <w:szCs w:val="32"/>
        </w:rPr>
      </w:pPr>
    </w:p>
    <w:p w:rsidR="00177423" w:rsidRDefault="00177423">
      <w:pPr>
        <w:ind w:firstLine="420"/>
        <w:rPr>
          <w:rFonts w:ascii="仿宋" w:eastAsia="仿宋" w:hAnsi="仿宋" w:cs="仿宋"/>
          <w:sz w:val="32"/>
          <w:szCs w:val="32"/>
        </w:rPr>
      </w:pPr>
    </w:p>
    <w:sectPr w:rsidR="00177423" w:rsidSect="00177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AF0" w:rsidRDefault="00B06AF0" w:rsidP="00B06AF0">
      <w:r>
        <w:separator/>
      </w:r>
    </w:p>
  </w:endnote>
  <w:endnote w:type="continuationSeparator" w:id="1">
    <w:p w:rsidR="00B06AF0" w:rsidRDefault="00B06AF0" w:rsidP="00B06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AF0" w:rsidRDefault="00B06AF0" w:rsidP="00B06AF0">
      <w:r>
        <w:separator/>
      </w:r>
    </w:p>
  </w:footnote>
  <w:footnote w:type="continuationSeparator" w:id="1">
    <w:p w:rsidR="00B06AF0" w:rsidRDefault="00B06AF0" w:rsidP="00B06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423"/>
    <w:rsid w:val="00177423"/>
    <w:rsid w:val="001C112D"/>
    <w:rsid w:val="00AC48E4"/>
    <w:rsid w:val="00B06AF0"/>
    <w:rsid w:val="07B6083F"/>
    <w:rsid w:val="132B23BC"/>
    <w:rsid w:val="35310299"/>
    <w:rsid w:val="3B873A1D"/>
    <w:rsid w:val="3D453406"/>
    <w:rsid w:val="459F105C"/>
    <w:rsid w:val="55741232"/>
    <w:rsid w:val="652C5CA9"/>
    <w:rsid w:val="6A4C2D37"/>
    <w:rsid w:val="6D830F3A"/>
    <w:rsid w:val="71D76DF2"/>
    <w:rsid w:val="78B632CD"/>
    <w:rsid w:val="7C157C01"/>
    <w:rsid w:val="7F5B0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4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4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0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06AF0"/>
    <w:rPr>
      <w:kern w:val="2"/>
      <w:sz w:val="18"/>
      <w:szCs w:val="18"/>
    </w:rPr>
  </w:style>
  <w:style w:type="paragraph" w:styleId="a5">
    <w:name w:val="footer"/>
    <w:basedOn w:val="a"/>
    <w:link w:val="Char0"/>
    <w:rsid w:val="00B06AF0"/>
    <w:pPr>
      <w:tabs>
        <w:tab w:val="center" w:pos="4153"/>
        <w:tab w:val="right" w:pos="8306"/>
      </w:tabs>
      <w:snapToGrid w:val="0"/>
      <w:jc w:val="left"/>
    </w:pPr>
    <w:rPr>
      <w:sz w:val="18"/>
      <w:szCs w:val="18"/>
    </w:rPr>
  </w:style>
  <w:style w:type="character" w:customStyle="1" w:styleId="Char0">
    <w:name w:val="页脚 Char"/>
    <w:basedOn w:val="a0"/>
    <w:link w:val="a5"/>
    <w:rsid w:val="00B06AF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603</Words>
  <Characters>183</Characters>
  <Application>Microsoft Office Word</Application>
  <DocSecurity>0</DocSecurity>
  <Lines>1</Lines>
  <Paragraphs>1</Paragraphs>
  <ScaleCrop>false</ScaleCrop>
  <Company>www.sdwm.org</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jkw</dc:creator>
  <cp:lastModifiedBy>深度完美</cp:lastModifiedBy>
  <cp:revision>4</cp:revision>
  <cp:lastPrinted>2019-02-13T08:37:00Z</cp:lastPrinted>
  <dcterms:created xsi:type="dcterms:W3CDTF">2014-10-29T12:08:00Z</dcterms:created>
  <dcterms:modified xsi:type="dcterms:W3CDTF">2019-02-13T08:38:00Z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